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6E31F4" w14:textId="77777777" w:rsidR="00DC28D5" w:rsidRDefault="00DC28D5">
      <w:pPr>
        <w:pStyle w:val="Titolo10"/>
        <w:spacing w:before="0" w:after="300" w:line="240" w:lineRule="auto"/>
        <w:rPr>
          <w:rFonts w:ascii="Verdana" w:hAnsi="Verdana" w:cs="Times New Roman"/>
          <w:sz w:val="28"/>
          <w:lang w:val="it-IT" w:eastAsia="it-IT"/>
        </w:rPr>
      </w:pPr>
      <w:r w:rsidRPr="00CF627F">
        <w:rPr>
          <w:rFonts w:ascii="Verdana" w:hAnsi="Verdana" w:cs="Times New Roman"/>
          <w:sz w:val="28"/>
          <w:lang w:val="it-IT" w:eastAsia="it-IT"/>
        </w:rPr>
        <w:t xml:space="preserve">PIANO TRIENNALE PER LA PREVENZIONE DELLA CORRUZIONE E TRASPARENZA </w:t>
      </w:r>
      <w:r w:rsidR="003831D3">
        <w:rPr>
          <w:rFonts w:ascii="Verdana" w:hAnsi="Verdana" w:cs="Times New Roman"/>
          <w:sz w:val="28"/>
          <w:lang w:val="it-IT" w:eastAsia="it-IT"/>
        </w:rPr>
        <w:t>2026-2028</w:t>
      </w:r>
    </w:p>
    <w:p w14:paraId="487F2FD6" w14:textId="77777777" w:rsidR="00037371" w:rsidRDefault="00037371" w:rsidP="00037371">
      <w:pPr>
        <w:pStyle w:val="Corpotesto"/>
        <w:rPr>
          <w:lang w:val="it-IT" w:eastAsia="it-IT"/>
        </w:rPr>
      </w:pPr>
    </w:p>
    <w:p w14:paraId="525B088C" w14:textId="77777777" w:rsidR="00037371" w:rsidRPr="00037371" w:rsidRDefault="00037371" w:rsidP="00037371">
      <w:pPr>
        <w:pStyle w:val="Corpotesto"/>
        <w:rPr>
          <w:lang w:val="it-IT" w:eastAsia="it-IT"/>
        </w:rPr>
      </w:pPr>
    </w:p>
    <w:p w14:paraId="537ADC86" w14:textId="41257524" w:rsidR="00233FB8" w:rsidRDefault="00DC28D5">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r w:rsidRPr="0009315F">
        <w:fldChar w:fldCharType="begin"/>
      </w:r>
      <w:r w:rsidRPr="0009315F">
        <w:instrText xml:space="preserve"> TOC \o "1-3" \h</w:instrText>
      </w:r>
      <w:r w:rsidRPr="0009315F">
        <w:fldChar w:fldCharType="separate"/>
      </w:r>
      <w:hyperlink w:anchor="_Toc225863522" w:history="1">
        <w:r w:rsidR="00233FB8" w:rsidRPr="005D3944">
          <w:rPr>
            <w:rStyle w:val="Collegamentoipertestuale"/>
            <w:noProof/>
            <w:lang w:eastAsia="it-IT"/>
          </w:rPr>
          <w:t>A. INFORMAZIONI DI CARATTERE GENERALE</w:t>
        </w:r>
        <w:r w:rsidR="00233FB8">
          <w:rPr>
            <w:noProof/>
          </w:rPr>
          <w:tab/>
        </w:r>
        <w:r w:rsidR="00233FB8">
          <w:rPr>
            <w:noProof/>
          </w:rPr>
          <w:fldChar w:fldCharType="begin"/>
        </w:r>
        <w:r w:rsidR="00233FB8">
          <w:rPr>
            <w:noProof/>
          </w:rPr>
          <w:instrText xml:space="preserve"> PAGEREF _Toc225863522 \h </w:instrText>
        </w:r>
        <w:r w:rsidR="00233FB8">
          <w:rPr>
            <w:noProof/>
          </w:rPr>
        </w:r>
        <w:r w:rsidR="00233FB8">
          <w:rPr>
            <w:noProof/>
          </w:rPr>
          <w:fldChar w:fldCharType="separate"/>
        </w:r>
        <w:r w:rsidR="00233FB8">
          <w:rPr>
            <w:noProof/>
          </w:rPr>
          <w:t>2</w:t>
        </w:r>
        <w:r w:rsidR="00233FB8">
          <w:rPr>
            <w:noProof/>
          </w:rPr>
          <w:fldChar w:fldCharType="end"/>
        </w:r>
      </w:hyperlink>
    </w:p>
    <w:p w14:paraId="2B6AD8A6" w14:textId="40A5D6D5"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23" w:history="1">
        <w:r w:rsidRPr="005D3944">
          <w:rPr>
            <w:rStyle w:val="Collegamentoipertestuale"/>
            <w:noProof/>
            <w:lang w:eastAsia="it-IT"/>
          </w:rPr>
          <w:t>B. PROCESSO DI REDAZIONE E APPROVAZIONE DEL PTPCT</w:t>
        </w:r>
        <w:r>
          <w:rPr>
            <w:noProof/>
          </w:rPr>
          <w:tab/>
        </w:r>
        <w:r>
          <w:rPr>
            <w:noProof/>
          </w:rPr>
          <w:fldChar w:fldCharType="begin"/>
        </w:r>
        <w:r>
          <w:rPr>
            <w:noProof/>
          </w:rPr>
          <w:instrText xml:space="preserve"> PAGEREF _Toc225863523 \h </w:instrText>
        </w:r>
        <w:r>
          <w:rPr>
            <w:noProof/>
          </w:rPr>
        </w:r>
        <w:r>
          <w:rPr>
            <w:noProof/>
          </w:rPr>
          <w:fldChar w:fldCharType="separate"/>
        </w:r>
        <w:r>
          <w:rPr>
            <w:noProof/>
          </w:rPr>
          <w:t>4</w:t>
        </w:r>
        <w:r>
          <w:rPr>
            <w:noProof/>
          </w:rPr>
          <w:fldChar w:fldCharType="end"/>
        </w:r>
      </w:hyperlink>
    </w:p>
    <w:p w14:paraId="3D061539" w14:textId="7CEBF471"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24" w:history="1">
        <w:r w:rsidRPr="005D3944">
          <w:rPr>
            <w:rStyle w:val="Collegamentoipertestuale"/>
            <w:noProof/>
            <w:lang w:eastAsia="it-IT"/>
          </w:rPr>
          <w:t>C. SISTEMA DI GOVERNANCE</w:t>
        </w:r>
        <w:r>
          <w:rPr>
            <w:noProof/>
          </w:rPr>
          <w:tab/>
        </w:r>
        <w:r>
          <w:rPr>
            <w:noProof/>
          </w:rPr>
          <w:fldChar w:fldCharType="begin"/>
        </w:r>
        <w:r>
          <w:rPr>
            <w:noProof/>
          </w:rPr>
          <w:instrText xml:space="preserve"> PAGEREF _Toc225863524 \h </w:instrText>
        </w:r>
        <w:r>
          <w:rPr>
            <w:noProof/>
          </w:rPr>
        </w:r>
        <w:r>
          <w:rPr>
            <w:noProof/>
          </w:rPr>
          <w:fldChar w:fldCharType="separate"/>
        </w:r>
        <w:r>
          <w:rPr>
            <w:noProof/>
          </w:rPr>
          <w:t>6</w:t>
        </w:r>
        <w:r>
          <w:rPr>
            <w:noProof/>
          </w:rPr>
          <w:fldChar w:fldCharType="end"/>
        </w:r>
      </w:hyperlink>
    </w:p>
    <w:p w14:paraId="2D68F909" w14:textId="386A124C"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25" w:history="1">
        <w:r w:rsidRPr="005D3944">
          <w:rPr>
            <w:rStyle w:val="Collegamentoipertestuale"/>
            <w:noProof/>
            <w:lang w:val="it-IT"/>
          </w:rPr>
          <w:t xml:space="preserve">C.1 </w:t>
        </w:r>
        <w:r w:rsidRPr="005D3944">
          <w:rPr>
            <w:rStyle w:val="Collegamentoipertestuale"/>
            <w:noProof/>
          </w:rPr>
          <w:t>RESPONSABILE DELLA PREVENZIONE DELLA CORRUZIONE E DELLA TRASPARENZA</w:t>
        </w:r>
        <w:r>
          <w:rPr>
            <w:noProof/>
          </w:rPr>
          <w:tab/>
        </w:r>
        <w:r>
          <w:rPr>
            <w:noProof/>
          </w:rPr>
          <w:fldChar w:fldCharType="begin"/>
        </w:r>
        <w:r>
          <w:rPr>
            <w:noProof/>
          </w:rPr>
          <w:instrText xml:space="preserve"> PAGEREF _Toc225863525 \h </w:instrText>
        </w:r>
        <w:r>
          <w:rPr>
            <w:noProof/>
          </w:rPr>
        </w:r>
        <w:r>
          <w:rPr>
            <w:noProof/>
          </w:rPr>
          <w:fldChar w:fldCharType="separate"/>
        </w:r>
        <w:r>
          <w:rPr>
            <w:noProof/>
          </w:rPr>
          <w:t>8</w:t>
        </w:r>
        <w:r>
          <w:rPr>
            <w:noProof/>
          </w:rPr>
          <w:fldChar w:fldCharType="end"/>
        </w:r>
      </w:hyperlink>
    </w:p>
    <w:p w14:paraId="2F269321" w14:textId="10F1B8F8"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26" w:history="1">
        <w:r w:rsidRPr="005D3944">
          <w:rPr>
            <w:rStyle w:val="Collegamentoipertestuale"/>
            <w:noProof/>
          </w:rPr>
          <w:t>D. SISTEMA DI MONITORAGGIO</w:t>
        </w:r>
        <w:r>
          <w:rPr>
            <w:noProof/>
          </w:rPr>
          <w:tab/>
        </w:r>
        <w:r>
          <w:rPr>
            <w:noProof/>
          </w:rPr>
          <w:fldChar w:fldCharType="begin"/>
        </w:r>
        <w:r>
          <w:rPr>
            <w:noProof/>
          </w:rPr>
          <w:instrText xml:space="preserve"> PAGEREF _Toc225863526 \h </w:instrText>
        </w:r>
        <w:r>
          <w:rPr>
            <w:noProof/>
          </w:rPr>
        </w:r>
        <w:r>
          <w:rPr>
            <w:noProof/>
          </w:rPr>
          <w:fldChar w:fldCharType="separate"/>
        </w:r>
        <w:r>
          <w:rPr>
            <w:noProof/>
          </w:rPr>
          <w:t>9</w:t>
        </w:r>
        <w:r>
          <w:rPr>
            <w:noProof/>
          </w:rPr>
          <w:fldChar w:fldCharType="end"/>
        </w:r>
      </w:hyperlink>
    </w:p>
    <w:p w14:paraId="75E7300D" w14:textId="6F086430"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27" w:history="1">
        <w:r w:rsidRPr="005D3944">
          <w:rPr>
            <w:rStyle w:val="Collegamentoipertestuale"/>
            <w:noProof/>
          </w:rPr>
          <w:t>D.1 ATTIVITÀ SVOLTA DAL RPCT E GRUPPO DI SUPPORTO</w:t>
        </w:r>
        <w:r>
          <w:rPr>
            <w:noProof/>
          </w:rPr>
          <w:tab/>
        </w:r>
        <w:r>
          <w:rPr>
            <w:noProof/>
          </w:rPr>
          <w:fldChar w:fldCharType="begin"/>
        </w:r>
        <w:r>
          <w:rPr>
            <w:noProof/>
          </w:rPr>
          <w:instrText xml:space="preserve"> PAGEREF _Toc225863527 \h </w:instrText>
        </w:r>
        <w:r>
          <w:rPr>
            <w:noProof/>
          </w:rPr>
        </w:r>
        <w:r>
          <w:rPr>
            <w:noProof/>
          </w:rPr>
          <w:fldChar w:fldCharType="separate"/>
        </w:r>
        <w:r>
          <w:rPr>
            <w:noProof/>
          </w:rPr>
          <w:t>9</w:t>
        </w:r>
        <w:r>
          <w:rPr>
            <w:noProof/>
          </w:rPr>
          <w:fldChar w:fldCharType="end"/>
        </w:r>
      </w:hyperlink>
    </w:p>
    <w:p w14:paraId="412B6579" w14:textId="6CBB6FDB"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28" w:history="1">
        <w:r w:rsidRPr="005D3944">
          <w:rPr>
            <w:rStyle w:val="Collegamentoipertestuale"/>
            <w:noProof/>
            <w:lang w:eastAsia="it-IT"/>
          </w:rPr>
          <w:t>E. COORDINAMENTO CON GLI STRUMENTI DI PROGRAMMAZIONE</w:t>
        </w:r>
        <w:r>
          <w:rPr>
            <w:noProof/>
          </w:rPr>
          <w:tab/>
        </w:r>
        <w:r>
          <w:rPr>
            <w:noProof/>
          </w:rPr>
          <w:fldChar w:fldCharType="begin"/>
        </w:r>
        <w:r>
          <w:rPr>
            <w:noProof/>
          </w:rPr>
          <w:instrText xml:space="preserve"> PAGEREF _Toc225863528 \h </w:instrText>
        </w:r>
        <w:r>
          <w:rPr>
            <w:noProof/>
          </w:rPr>
        </w:r>
        <w:r>
          <w:rPr>
            <w:noProof/>
          </w:rPr>
          <w:fldChar w:fldCharType="separate"/>
        </w:r>
        <w:r>
          <w:rPr>
            <w:noProof/>
          </w:rPr>
          <w:t>13</w:t>
        </w:r>
        <w:r>
          <w:rPr>
            <w:noProof/>
          </w:rPr>
          <w:fldChar w:fldCharType="end"/>
        </w:r>
      </w:hyperlink>
    </w:p>
    <w:p w14:paraId="38E0AB73" w14:textId="57CA0BD5"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29" w:history="1">
        <w:r w:rsidRPr="005D3944">
          <w:rPr>
            <w:rStyle w:val="Collegamentoipertestuale"/>
            <w:noProof/>
            <w:lang w:eastAsia="it-IT"/>
          </w:rPr>
          <w:t>F. ANALISI DEL CONTESTO ESTERNO</w:t>
        </w:r>
        <w:r>
          <w:rPr>
            <w:noProof/>
          </w:rPr>
          <w:tab/>
        </w:r>
        <w:r>
          <w:rPr>
            <w:noProof/>
          </w:rPr>
          <w:fldChar w:fldCharType="begin"/>
        </w:r>
        <w:r>
          <w:rPr>
            <w:noProof/>
          </w:rPr>
          <w:instrText xml:space="preserve"> PAGEREF _Toc225863529 \h </w:instrText>
        </w:r>
        <w:r>
          <w:rPr>
            <w:noProof/>
          </w:rPr>
        </w:r>
        <w:r>
          <w:rPr>
            <w:noProof/>
          </w:rPr>
          <w:fldChar w:fldCharType="separate"/>
        </w:r>
        <w:r>
          <w:rPr>
            <w:noProof/>
          </w:rPr>
          <w:t>13</w:t>
        </w:r>
        <w:r>
          <w:rPr>
            <w:noProof/>
          </w:rPr>
          <w:fldChar w:fldCharType="end"/>
        </w:r>
      </w:hyperlink>
    </w:p>
    <w:p w14:paraId="1E1E221D" w14:textId="6CA8E664"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30" w:history="1">
        <w:r w:rsidRPr="005D3944">
          <w:rPr>
            <w:rStyle w:val="Collegamentoipertestuale"/>
            <w:noProof/>
          </w:rPr>
          <w:t>G. ANALISI DEL CONTESTO INTERNO</w:t>
        </w:r>
        <w:r>
          <w:rPr>
            <w:noProof/>
          </w:rPr>
          <w:tab/>
        </w:r>
        <w:r>
          <w:rPr>
            <w:noProof/>
          </w:rPr>
          <w:fldChar w:fldCharType="begin"/>
        </w:r>
        <w:r>
          <w:rPr>
            <w:noProof/>
          </w:rPr>
          <w:instrText xml:space="preserve"> PAGEREF _Toc225863530 \h </w:instrText>
        </w:r>
        <w:r>
          <w:rPr>
            <w:noProof/>
          </w:rPr>
        </w:r>
        <w:r>
          <w:rPr>
            <w:noProof/>
          </w:rPr>
          <w:fldChar w:fldCharType="separate"/>
        </w:r>
        <w:r>
          <w:rPr>
            <w:noProof/>
          </w:rPr>
          <w:t>15</w:t>
        </w:r>
        <w:r>
          <w:rPr>
            <w:noProof/>
          </w:rPr>
          <w:fldChar w:fldCharType="end"/>
        </w:r>
      </w:hyperlink>
    </w:p>
    <w:p w14:paraId="050F6305" w14:textId="38075630"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1" w:history="1">
        <w:r w:rsidRPr="005D3944">
          <w:rPr>
            <w:rStyle w:val="Collegamentoipertestuale"/>
            <w:noProof/>
            <w:lang w:val="it-IT" w:eastAsia="it-IT"/>
          </w:rPr>
          <w:t>G.1 ASSETTO SOCIETARIO E ORGANIZZATIVO, MODALITÀ DI FINANZIAMENTO</w:t>
        </w:r>
        <w:r>
          <w:rPr>
            <w:noProof/>
          </w:rPr>
          <w:tab/>
        </w:r>
        <w:r>
          <w:rPr>
            <w:noProof/>
          </w:rPr>
          <w:fldChar w:fldCharType="begin"/>
        </w:r>
        <w:r>
          <w:rPr>
            <w:noProof/>
          </w:rPr>
          <w:instrText xml:space="preserve"> PAGEREF _Toc225863531 \h </w:instrText>
        </w:r>
        <w:r>
          <w:rPr>
            <w:noProof/>
          </w:rPr>
        </w:r>
        <w:r>
          <w:rPr>
            <w:noProof/>
          </w:rPr>
          <w:fldChar w:fldCharType="separate"/>
        </w:r>
        <w:r>
          <w:rPr>
            <w:noProof/>
          </w:rPr>
          <w:t>15</w:t>
        </w:r>
        <w:r>
          <w:rPr>
            <w:noProof/>
          </w:rPr>
          <w:fldChar w:fldCharType="end"/>
        </w:r>
      </w:hyperlink>
    </w:p>
    <w:p w14:paraId="3A5657EF" w14:textId="7D6D1886"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2" w:history="1">
        <w:r w:rsidRPr="005D3944">
          <w:rPr>
            <w:rStyle w:val="Collegamentoipertestuale"/>
            <w:noProof/>
            <w:lang w:eastAsia="it-IT"/>
          </w:rPr>
          <w:t>G.2 RAPPORTI CON IL TERRITORIO E GLI STAKEHOLDER</w:t>
        </w:r>
        <w:r>
          <w:rPr>
            <w:noProof/>
          </w:rPr>
          <w:tab/>
        </w:r>
        <w:r>
          <w:rPr>
            <w:noProof/>
          </w:rPr>
          <w:fldChar w:fldCharType="begin"/>
        </w:r>
        <w:r>
          <w:rPr>
            <w:noProof/>
          </w:rPr>
          <w:instrText xml:space="preserve"> PAGEREF _Toc225863532 \h </w:instrText>
        </w:r>
        <w:r>
          <w:rPr>
            <w:noProof/>
          </w:rPr>
        </w:r>
        <w:r>
          <w:rPr>
            <w:noProof/>
          </w:rPr>
          <w:fldChar w:fldCharType="separate"/>
        </w:r>
        <w:r>
          <w:rPr>
            <w:noProof/>
          </w:rPr>
          <w:t>16</w:t>
        </w:r>
        <w:r>
          <w:rPr>
            <w:noProof/>
          </w:rPr>
          <w:fldChar w:fldCharType="end"/>
        </w:r>
      </w:hyperlink>
    </w:p>
    <w:p w14:paraId="1D78509B" w14:textId="48F5D507"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3" w:history="1">
        <w:r w:rsidRPr="005D3944">
          <w:rPr>
            <w:rStyle w:val="Collegamentoipertestuale"/>
            <w:noProof/>
            <w:lang w:eastAsia="it-IT"/>
          </w:rPr>
          <w:t>G.3 DIMENSIONI DI MRI E DISECONOMIE DI SCALA NEI SERVIZI DI SUPPORTO</w:t>
        </w:r>
        <w:r>
          <w:rPr>
            <w:noProof/>
          </w:rPr>
          <w:tab/>
        </w:r>
        <w:r>
          <w:rPr>
            <w:noProof/>
          </w:rPr>
          <w:fldChar w:fldCharType="begin"/>
        </w:r>
        <w:r>
          <w:rPr>
            <w:noProof/>
          </w:rPr>
          <w:instrText xml:space="preserve"> PAGEREF _Toc225863533 \h </w:instrText>
        </w:r>
        <w:r>
          <w:rPr>
            <w:noProof/>
          </w:rPr>
        </w:r>
        <w:r>
          <w:rPr>
            <w:noProof/>
          </w:rPr>
          <w:fldChar w:fldCharType="separate"/>
        </w:r>
        <w:r>
          <w:rPr>
            <w:noProof/>
          </w:rPr>
          <w:t>16</w:t>
        </w:r>
        <w:r>
          <w:rPr>
            <w:noProof/>
          </w:rPr>
          <w:fldChar w:fldCharType="end"/>
        </w:r>
      </w:hyperlink>
    </w:p>
    <w:p w14:paraId="2BB9098D" w14:textId="3309DB55"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4" w:history="1">
        <w:r w:rsidRPr="005D3944">
          <w:rPr>
            <w:rStyle w:val="Collegamentoipertestuale"/>
            <w:noProof/>
          </w:rPr>
          <w:t>G.4 ASSETTO ORGANIZZATIVO INTERNO E PRINCIPALI CARATTERISTICHE</w:t>
        </w:r>
        <w:r>
          <w:rPr>
            <w:noProof/>
          </w:rPr>
          <w:tab/>
        </w:r>
        <w:r>
          <w:rPr>
            <w:noProof/>
          </w:rPr>
          <w:fldChar w:fldCharType="begin"/>
        </w:r>
        <w:r>
          <w:rPr>
            <w:noProof/>
          </w:rPr>
          <w:instrText xml:space="preserve"> PAGEREF _Toc225863534 \h </w:instrText>
        </w:r>
        <w:r>
          <w:rPr>
            <w:noProof/>
          </w:rPr>
        </w:r>
        <w:r>
          <w:rPr>
            <w:noProof/>
          </w:rPr>
          <w:fldChar w:fldCharType="separate"/>
        </w:r>
        <w:r>
          <w:rPr>
            <w:noProof/>
          </w:rPr>
          <w:t>18</w:t>
        </w:r>
        <w:r>
          <w:rPr>
            <w:noProof/>
          </w:rPr>
          <w:fldChar w:fldCharType="end"/>
        </w:r>
      </w:hyperlink>
    </w:p>
    <w:p w14:paraId="74B02562" w14:textId="7DA83B13"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5" w:history="1">
        <w:r w:rsidRPr="005D3944">
          <w:rPr>
            <w:rStyle w:val="Collegamentoipertestuale"/>
            <w:noProof/>
            <w:lang w:eastAsia="it-IT"/>
          </w:rPr>
          <w:t>G.5 FONDAZIONE MONTECATONE ETS</w:t>
        </w:r>
        <w:r>
          <w:rPr>
            <w:noProof/>
          </w:rPr>
          <w:tab/>
        </w:r>
        <w:r>
          <w:rPr>
            <w:noProof/>
          </w:rPr>
          <w:fldChar w:fldCharType="begin"/>
        </w:r>
        <w:r>
          <w:rPr>
            <w:noProof/>
          </w:rPr>
          <w:instrText xml:space="preserve"> PAGEREF _Toc225863535 \h </w:instrText>
        </w:r>
        <w:r>
          <w:rPr>
            <w:noProof/>
          </w:rPr>
        </w:r>
        <w:r>
          <w:rPr>
            <w:noProof/>
          </w:rPr>
          <w:fldChar w:fldCharType="separate"/>
        </w:r>
        <w:r>
          <w:rPr>
            <w:noProof/>
          </w:rPr>
          <w:t>20</w:t>
        </w:r>
        <w:r>
          <w:rPr>
            <w:noProof/>
          </w:rPr>
          <w:fldChar w:fldCharType="end"/>
        </w:r>
      </w:hyperlink>
    </w:p>
    <w:p w14:paraId="24972587" w14:textId="296C3FA0"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6" w:history="1">
        <w:r w:rsidRPr="005D3944">
          <w:rPr>
            <w:rStyle w:val="Collegamentoipertestuale"/>
            <w:noProof/>
            <w:lang w:val="it-IT" w:eastAsia="it-IT"/>
          </w:rPr>
          <w:t>G</w:t>
        </w:r>
        <w:r w:rsidRPr="005D3944">
          <w:rPr>
            <w:rStyle w:val="Collegamentoipertestuale"/>
            <w:noProof/>
            <w:lang w:eastAsia="it-IT"/>
          </w:rPr>
          <w:t>.6 MAPPATURA DEI PROCESSI</w:t>
        </w:r>
        <w:r>
          <w:rPr>
            <w:noProof/>
          </w:rPr>
          <w:tab/>
        </w:r>
        <w:r>
          <w:rPr>
            <w:noProof/>
          </w:rPr>
          <w:fldChar w:fldCharType="begin"/>
        </w:r>
        <w:r>
          <w:rPr>
            <w:noProof/>
          </w:rPr>
          <w:instrText xml:space="preserve"> PAGEREF _Toc225863536 \h </w:instrText>
        </w:r>
        <w:r>
          <w:rPr>
            <w:noProof/>
          </w:rPr>
        </w:r>
        <w:r>
          <w:rPr>
            <w:noProof/>
          </w:rPr>
          <w:fldChar w:fldCharType="separate"/>
        </w:r>
        <w:r>
          <w:rPr>
            <w:noProof/>
          </w:rPr>
          <w:t>20</w:t>
        </w:r>
        <w:r>
          <w:rPr>
            <w:noProof/>
          </w:rPr>
          <w:fldChar w:fldCharType="end"/>
        </w:r>
      </w:hyperlink>
    </w:p>
    <w:p w14:paraId="55876882" w14:textId="60119727"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37" w:history="1">
        <w:r w:rsidRPr="005D3944">
          <w:rPr>
            <w:rStyle w:val="Collegamentoipertestuale"/>
            <w:noProof/>
          </w:rPr>
          <w:t>H.VALUTAZIONE DEL RISCHIO</w:t>
        </w:r>
        <w:r>
          <w:rPr>
            <w:noProof/>
          </w:rPr>
          <w:tab/>
        </w:r>
        <w:r>
          <w:rPr>
            <w:noProof/>
          </w:rPr>
          <w:fldChar w:fldCharType="begin"/>
        </w:r>
        <w:r>
          <w:rPr>
            <w:noProof/>
          </w:rPr>
          <w:instrText xml:space="preserve"> PAGEREF _Toc225863537 \h </w:instrText>
        </w:r>
        <w:r>
          <w:rPr>
            <w:noProof/>
          </w:rPr>
        </w:r>
        <w:r>
          <w:rPr>
            <w:noProof/>
          </w:rPr>
          <w:fldChar w:fldCharType="separate"/>
        </w:r>
        <w:r>
          <w:rPr>
            <w:noProof/>
          </w:rPr>
          <w:t>21</w:t>
        </w:r>
        <w:r>
          <w:rPr>
            <w:noProof/>
          </w:rPr>
          <w:fldChar w:fldCharType="end"/>
        </w:r>
      </w:hyperlink>
    </w:p>
    <w:p w14:paraId="46C13378" w14:textId="4B26B08B"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8" w:history="1">
        <w:r w:rsidRPr="005D3944">
          <w:rPr>
            <w:rStyle w:val="Collegamentoipertestuale"/>
            <w:noProof/>
          </w:rPr>
          <w:t>H.</w:t>
        </w:r>
        <w:r w:rsidRPr="005D3944">
          <w:rPr>
            <w:rStyle w:val="Collegamentoipertestuale"/>
            <w:noProof/>
            <w:lang w:val="it-IT"/>
          </w:rPr>
          <w:t>1</w:t>
        </w:r>
        <w:r w:rsidRPr="005D3944">
          <w:rPr>
            <w:rStyle w:val="Collegamentoipertestuale"/>
            <w:noProof/>
          </w:rPr>
          <w:t xml:space="preserve"> ANALISI E VALUTAZIONE DEI PROCESSI</w:t>
        </w:r>
        <w:r>
          <w:rPr>
            <w:noProof/>
          </w:rPr>
          <w:tab/>
        </w:r>
        <w:r>
          <w:rPr>
            <w:noProof/>
          </w:rPr>
          <w:fldChar w:fldCharType="begin"/>
        </w:r>
        <w:r>
          <w:rPr>
            <w:noProof/>
          </w:rPr>
          <w:instrText xml:space="preserve"> PAGEREF _Toc225863538 \h </w:instrText>
        </w:r>
        <w:r>
          <w:rPr>
            <w:noProof/>
          </w:rPr>
        </w:r>
        <w:r>
          <w:rPr>
            <w:noProof/>
          </w:rPr>
          <w:fldChar w:fldCharType="separate"/>
        </w:r>
        <w:r>
          <w:rPr>
            <w:noProof/>
          </w:rPr>
          <w:t>21</w:t>
        </w:r>
        <w:r>
          <w:rPr>
            <w:noProof/>
          </w:rPr>
          <w:fldChar w:fldCharType="end"/>
        </w:r>
      </w:hyperlink>
    </w:p>
    <w:p w14:paraId="7CE0602D" w14:textId="592C2762"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39" w:history="1">
        <w:r w:rsidRPr="005D3944">
          <w:rPr>
            <w:rStyle w:val="Collegamentoipertestuale"/>
            <w:noProof/>
            <w:lang w:eastAsia="it-IT"/>
          </w:rPr>
          <w:t>H.</w:t>
        </w:r>
        <w:r w:rsidRPr="005D3944">
          <w:rPr>
            <w:rStyle w:val="Collegamentoipertestuale"/>
            <w:noProof/>
            <w:lang w:val="it-IT" w:eastAsia="it-IT"/>
          </w:rPr>
          <w:t>2</w:t>
        </w:r>
        <w:r w:rsidRPr="005D3944">
          <w:rPr>
            <w:rStyle w:val="Collegamentoipertestuale"/>
            <w:noProof/>
            <w:lang w:eastAsia="it-IT"/>
          </w:rPr>
          <w:t xml:space="preserve"> IDENTIFICAZIONE E VALUTAZIONE DEI RISCHI</w:t>
        </w:r>
        <w:r>
          <w:rPr>
            <w:noProof/>
          </w:rPr>
          <w:tab/>
        </w:r>
        <w:r>
          <w:rPr>
            <w:noProof/>
          </w:rPr>
          <w:fldChar w:fldCharType="begin"/>
        </w:r>
        <w:r>
          <w:rPr>
            <w:noProof/>
          </w:rPr>
          <w:instrText xml:space="preserve"> PAGEREF _Toc225863539 \h </w:instrText>
        </w:r>
        <w:r>
          <w:rPr>
            <w:noProof/>
          </w:rPr>
        </w:r>
        <w:r>
          <w:rPr>
            <w:noProof/>
          </w:rPr>
          <w:fldChar w:fldCharType="separate"/>
        </w:r>
        <w:r>
          <w:rPr>
            <w:noProof/>
          </w:rPr>
          <w:t>22</w:t>
        </w:r>
        <w:r>
          <w:rPr>
            <w:noProof/>
          </w:rPr>
          <w:fldChar w:fldCharType="end"/>
        </w:r>
      </w:hyperlink>
    </w:p>
    <w:p w14:paraId="46D69988" w14:textId="4453D1E6"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40" w:history="1">
        <w:r w:rsidRPr="005D3944">
          <w:rPr>
            <w:rStyle w:val="Collegamentoipertestuale"/>
            <w:bCs/>
            <w:noProof/>
            <w:lang w:eastAsia="it-IT"/>
          </w:rPr>
          <w:t xml:space="preserve">I.  TRATTAMENTO DEL RISCHIO: PREVISIONE DELLE </w:t>
        </w:r>
        <w:r w:rsidRPr="005D3944">
          <w:rPr>
            <w:rStyle w:val="Collegamentoipertestuale"/>
            <w:noProof/>
            <w:lang w:eastAsia="it-IT"/>
          </w:rPr>
          <w:t>MISURE GENERALI</w:t>
        </w:r>
        <w:r>
          <w:rPr>
            <w:noProof/>
          </w:rPr>
          <w:tab/>
        </w:r>
        <w:r>
          <w:rPr>
            <w:noProof/>
          </w:rPr>
          <w:fldChar w:fldCharType="begin"/>
        </w:r>
        <w:r>
          <w:rPr>
            <w:noProof/>
          </w:rPr>
          <w:instrText xml:space="preserve"> PAGEREF _Toc225863540 \h </w:instrText>
        </w:r>
        <w:r>
          <w:rPr>
            <w:noProof/>
          </w:rPr>
        </w:r>
        <w:r>
          <w:rPr>
            <w:noProof/>
          </w:rPr>
          <w:fldChar w:fldCharType="separate"/>
        </w:r>
        <w:r>
          <w:rPr>
            <w:noProof/>
          </w:rPr>
          <w:t>22</w:t>
        </w:r>
        <w:r>
          <w:rPr>
            <w:noProof/>
          </w:rPr>
          <w:fldChar w:fldCharType="end"/>
        </w:r>
      </w:hyperlink>
    </w:p>
    <w:p w14:paraId="31CCC18F" w14:textId="761E297E"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1" w:history="1">
        <w:r w:rsidRPr="005D3944">
          <w:rPr>
            <w:rStyle w:val="Collegamentoipertestuale"/>
            <w:noProof/>
            <w:lang w:val="it-IT" w:eastAsia="it-IT"/>
          </w:rPr>
          <w:t>I.1 INCOMPATIBILIT</w:t>
        </w:r>
        <w:r w:rsidRPr="005D3944">
          <w:rPr>
            <w:rStyle w:val="Collegamentoipertestuale"/>
            <w:noProof/>
            <w:lang w:eastAsia="it-IT"/>
          </w:rPr>
          <w:t>À E INCONFERIBILITÀ DEGLI INCARICHI</w:t>
        </w:r>
        <w:r>
          <w:rPr>
            <w:noProof/>
          </w:rPr>
          <w:tab/>
        </w:r>
        <w:r>
          <w:rPr>
            <w:noProof/>
          </w:rPr>
          <w:fldChar w:fldCharType="begin"/>
        </w:r>
        <w:r>
          <w:rPr>
            <w:noProof/>
          </w:rPr>
          <w:instrText xml:space="preserve"> PAGEREF _Toc225863541 \h </w:instrText>
        </w:r>
        <w:r>
          <w:rPr>
            <w:noProof/>
          </w:rPr>
        </w:r>
        <w:r>
          <w:rPr>
            <w:noProof/>
          </w:rPr>
          <w:fldChar w:fldCharType="separate"/>
        </w:r>
        <w:r>
          <w:rPr>
            <w:noProof/>
          </w:rPr>
          <w:t>23</w:t>
        </w:r>
        <w:r>
          <w:rPr>
            <w:noProof/>
          </w:rPr>
          <w:fldChar w:fldCharType="end"/>
        </w:r>
      </w:hyperlink>
    </w:p>
    <w:p w14:paraId="172A6BE9" w14:textId="4793B3D9"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2" w:history="1">
        <w:r w:rsidRPr="005D3944">
          <w:rPr>
            <w:rStyle w:val="Collegamentoipertestuale"/>
            <w:noProof/>
            <w:lang w:val="it-IT" w:eastAsia="it-IT"/>
          </w:rPr>
          <w:t>I.2 DIVIETO DI PANTOUFLAGE – DIVIETO DI POST EMPLOYMENT</w:t>
        </w:r>
        <w:r>
          <w:rPr>
            <w:noProof/>
          </w:rPr>
          <w:tab/>
        </w:r>
        <w:r>
          <w:rPr>
            <w:noProof/>
          </w:rPr>
          <w:fldChar w:fldCharType="begin"/>
        </w:r>
        <w:r>
          <w:rPr>
            <w:noProof/>
          </w:rPr>
          <w:instrText xml:space="preserve"> PAGEREF _Toc225863542 \h </w:instrText>
        </w:r>
        <w:r>
          <w:rPr>
            <w:noProof/>
          </w:rPr>
        </w:r>
        <w:r>
          <w:rPr>
            <w:noProof/>
          </w:rPr>
          <w:fldChar w:fldCharType="separate"/>
        </w:r>
        <w:r>
          <w:rPr>
            <w:noProof/>
          </w:rPr>
          <w:t>23</w:t>
        </w:r>
        <w:r>
          <w:rPr>
            <w:noProof/>
          </w:rPr>
          <w:fldChar w:fldCharType="end"/>
        </w:r>
      </w:hyperlink>
    </w:p>
    <w:p w14:paraId="517A7EC5" w14:textId="03DC3054"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3" w:history="1">
        <w:r w:rsidRPr="005D3944">
          <w:rPr>
            <w:rStyle w:val="Collegamentoipertestuale"/>
            <w:noProof/>
          </w:rPr>
          <w:t>I.3 MISURE DI REGOLAMENTAZIONE</w:t>
        </w:r>
        <w:r>
          <w:rPr>
            <w:noProof/>
          </w:rPr>
          <w:tab/>
        </w:r>
        <w:r>
          <w:rPr>
            <w:noProof/>
          </w:rPr>
          <w:fldChar w:fldCharType="begin"/>
        </w:r>
        <w:r>
          <w:rPr>
            <w:noProof/>
          </w:rPr>
          <w:instrText xml:space="preserve"> PAGEREF _Toc225863543 \h </w:instrText>
        </w:r>
        <w:r>
          <w:rPr>
            <w:noProof/>
          </w:rPr>
        </w:r>
        <w:r>
          <w:rPr>
            <w:noProof/>
          </w:rPr>
          <w:fldChar w:fldCharType="separate"/>
        </w:r>
        <w:r>
          <w:rPr>
            <w:noProof/>
          </w:rPr>
          <w:t>23</w:t>
        </w:r>
        <w:r>
          <w:rPr>
            <w:noProof/>
          </w:rPr>
          <w:fldChar w:fldCharType="end"/>
        </w:r>
      </w:hyperlink>
    </w:p>
    <w:p w14:paraId="635E1D16" w14:textId="1DA0BEE5"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4" w:history="1">
        <w:r w:rsidRPr="005D3944">
          <w:rPr>
            <w:rStyle w:val="Collegamentoipertestuale"/>
            <w:noProof/>
            <w:lang w:val="it-IT" w:eastAsia="it-IT"/>
          </w:rPr>
          <w:t xml:space="preserve">I.4 MISURE RELATIVE AGLI </w:t>
        </w:r>
        <w:r w:rsidRPr="005D3944">
          <w:rPr>
            <w:rStyle w:val="Collegamentoipertestuale"/>
            <w:noProof/>
            <w:lang w:eastAsia="it-IT"/>
          </w:rPr>
          <w:t xml:space="preserve">ACQUISTI </w:t>
        </w:r>
        <w:r w:rsidRPr="005D3944">
          <w:rPr>
            <w:rStyle w:val="Collegamentoipertestuale"/>
            <w:noProof/>
            <w:lang w:val="it-IT" w:eastAsia="it-IT"/>
          </w:rPr>
          <w:t>E ALLA GESTIONE DEI CONTRATTI</w:t>
        </w:r>
        <w:r>
          <w:rPr>
            <w:noProof/>
          </w:rPr>
          <w:tab/>
        </w:r>
        <w:r>
          <w:rPr>
            <w:noProof/>
          </w:rPr>
          <w:fldChar w:fldCharType="begin"/>
        </w:r>
        <w:r>
          <w:rPr>
            <w:noProof/>
          </w:rPr>
          <w:instrText xml:space="preserve"> PAGEREF _Toc225863544 \h </w:instrText>
        </w:r>
        <w:r>
          <w:rPr>
            <w:noProof/>
          </w:rPr>
        </w:r>
        <w:r>
          <w:rPr>
            <w:noProof/>
          </w:rPr>
          <w:fldChar w:fldCharType="separate"/>
        </w:r>
        <w:r>
          <w:rPr>
            <w:noProof/>
          </w:rPr>
          <w:t>24</w:t>
        </w:r>
        <w:r>
          <w:rPr>
            <w:noProof/>
          </w:rPr>
          <w:fldChar w:fldCharType="end"/>
        </w:r>
      </w:hyperlink>
    </w:p>
    <w:p w14:paraId="2C8EC6CF" w14:textId="27599347"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5" w:history="1">
        <w:r w:rsidRPr="005D3944">
          <w:rPr>
            <w:rStyle w:val="Collegamentoipertestuale"/>
            <w:noProof/>
            <w:lang w:val="it-IT" w:eastAsia="it-IT"/>
          </w:rPr>
          <w:t>I.5</w:t>
        </w:r>
        <w:r w:rsidRPr="005D3944">
          <w:rPr>
            <w:rStyle w:val="Collegamentoipertestuale"/>
            <w:noProof/>
            <w:lang w:eastAsia="it-IT"/>
          </w:rPr>
          <w:t xml:space="preserve"> ROTAZIONE</w:t>
        </w:r>
        <w:r>
          <w:rPr>
            <w:noProof/>
          </w:rPr>
          <w:tab/>
        </w:r>
        <w:r>
          <w:rPr>
            <w:noProof/>
          </w:rPr>
          <w:fldChar w:fldCharType="begin"/>
        </w:r>
        <w:r>
          <w:rPr>
            <w:noProof/>
          </w:rPr>
          <w:instrText xml:space="preserve"> PAGEREF _Toc225863545 \h </w:instrText>
        </w:r>
        <w:r>
          <w:rPr>
            <w:noProof/>
          </w:rPr>
        </w:r>
        <w:r>
          <w:rPr>
            <w:noProof/>
          </w:rPr>
          <w:fldChar w:fldCharType="separate"/>
        </w:r>
        <w:r>
          <w:rPr>
            <w:noProof/>
          </w:rPr>
          <w:t>24</w:t>
        </w:r>
        <w:r>
          <w:rPr>
            <w:noProof/>
          </w:rPr>
          <w:fldChar w:fldCharType="end"/>
        </w:r>
      </w:hyperlink>
    </w:p>
    <w:p w14:paraId="7C6DC9AA" w14:textId="208D49C1"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6" w:history="1">
        <w:r w:rsidRPr="005D3944">
          <w:rPr>
            <w:rStyle w:val="Collegamentoipertestuale"/>
            <w:noProof/>
          </w:rPr>
          <w:t>I.6 FORMAZIONE</w:t>
        </w:r>
        <w:r>
          <w:rPr>
            <w:noProof/>
          </w:rPr>
          <w:tab/>
        </w:r>
        <w:r>
          <w:rPr>
            <w:noProof/>
          </w:rPr>
          <w:fldChar w:fldCharType="begin"/>
        </w:r>
        <w:r>
          <w:rPr>
            <w:noProof/>
          </w:rPr>
          <w:instrText xml:space="preserve"> PAGEREF _Toc225863546 \h </w:instrText>
        </w:r>
        <w:r>
          <w:rPr>
            <w:noProof/>
          </w:rPr>
        </w:r>
        <w:r>
          <w:rPr>
            <w:noProof/>
          </w:rPr>
          <w:fldChar w:fldCharType="separate"/>
        </w:r>
        <w:r>
          <w:rPr>
            <w:noProof/>
          </w:rPr>
          <w:t>25</w:t>
        </w:r>
        <w:r>
          <w:rPr>
            <w:noProof/>
          </w:rPr>
          <w:fldChar w:fldCharType="end"/>
        </w:r>
      </w:hyperlink>
    </w:p>
    <w:p w14:paraId="1ADE7020" w14:textId="7D3674F0"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47" w:history="1">
        <w:r w:rsidRPr="005D3944">
          <w:rPr>
            <w:rStyle w:val="Collegamentoipertestuale"/>
            <w:noProof/>
          </w:rPr>
          <w:t>I.7 WHISTLEBLOWING</w:t>
        </w:r>
        <w:r>
          <w:rPr>
            <w:noProof/>
          </w:rPr>
          <w:tab/>
        </w:r>
        <w:r>
          <w:rPr>
            <w:noProof/>
          </w:rPr>
          <w:fldChar w:fldCharType="begin"/>
        </w:r>
        <w:r>
          <w:rPr>
            <w:noProof/>
          </w:rPr>
          <w:instrText xml:space="preserve"> PAGEREF _Toc225863547 \h </w:instrText>
        </w:r>
        <w:r>
          <w:rPr>
            <w:noProof/>
          </w:rPr>
        </w:r>
        <w:r>
          <w:rPr>
            <w:noProof/>
          </w:rPr>
          <w:fldChar w:fldCharType="separate"/>
        </w:r>
        <w:r>
          <w:rPr>
            <w:noProof/>
          </w:rPr>
          <w:t>26</w:t>
        </w:r>
        <w:r>
          <w:rPr>
            <w:noProof/>
          </w:rPr>
          <w:fldChar w:fldCharType="end"/>
        </w:r>
      </w:hyperlink>
    </w:p>
    <w:p w14:paraId="62804EB8" w14:textId="4C628633"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48" w:history="1">
        <w:r w:rsidRPr="005D3944">
          <w:rPr>
            <w:rStyle w:val="Collegamentoipertestuale"/>
            <w:bCs/>
            <w:noProof/>
            <w:lang w:eastAsia="it-IT"/>
          </w:rPr>
          <w:t xml:space="preserve">L. TRATTAMENTO DEL RISCHIO: PREVISIONE DELLE </w:t>
        </w:r>
        <w:r w:rsidRPr="005D3944">
          <w:rPr>
            <w:rStyle w:val="Collegamentoipertestuale"/>
            <w:noProof/>
            <w:lang w:eastAsia="it-IT"/>
          </w:rPr>
          <w:t>MISURE SPECIFICHE</w:t>
        </w:r>
        <w:r>
          <w:rPr>
            <w:noProof/>
          </w:rPr>
          <w:tab/>
        </w:r>
        <w:r>
          <w:rPr>
            <w:noProof/>
          </w:rPr>
          <w:fldChar w:fldCharType="begin"/>
        </w:r>
        <w:r>
          <w:rPr>
            <w:noProof/>
          </w:rPr>
          <w:instrText xml:space="preserve"> PAGEREF _Toc225863548 \h </w:instrText>
        </w:r>
        <w:r>
          <w:rPr>
            <w:noProof/>
          </w:rPr>
        </w:r>
        <w:r>
          <w:rPr>
            <w:noProof/>
          </w:rPr>
          <w:fldChar w:fldCharType="separate"/>
        </w:r>
        <w:r>
          <w:rPr>
            <w:noProof/>
          </w:rPr>
          <w:t>26</w:t>
        </w:r>
        <w:r>
          <w:rPr>
            <w:noProof/>
          </w:rPr>
          <w:fldChar w:fldCharType="end"/>
        </w:r>
      </w:hyperlink>
    </w:p>
    <w:p w14:paraId="6F58D38A" w14:textId="2E6FADF7"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49" w:history="1">
        <w:r w:rsidRPr="005D3944">
          <w:rPr>
            <w:rStyle w:val="Collegamentoipertestuale"/>
            <w:noProof/>
          </w:rPr>
          <w:t>M. SEZIONE TRASPARENZA</w:t>
        </w:r>
        <w:r>
          <w:rPr>
            <w:noProof/>
          </w:rPr>
          <w:tab/>
        </w:r>
        <w:r>
          <w:rPr>
            <w:noProof/>
          </w:rPr>
          <w:fldChar w:fldCharType="begin"/>
        </w:r>
        <w:r>
          <w:rPr>
            <w:noProof/>
          </w:rPr>
          <w:instrText xml:space="preserve"> PAGEREF _Toc225863549 \h </w:instrText>
        </w:r>
        <w:r>
          <w:rPr>
            <w:noProof/>
          </w:rPr>
        </w:r>
        <w:r>
          <w:rPr>
            <w:noProof/>
          </w:rPr>
          <w:fldChar w:fldCharType="separate"/>
        </w:r>
        <w:r>
          <w:rPr>
            <w:noProof/>
          </w:rPr>
          <w:t>27</w:t>
        </w:r>
        <w:r>
          <w:rPr>
            <w:noProof/>
          </w:rPr>
          <w:fldChar w:fldCharType="end"/>
        </w:r>
      </w:hyperlink>
    </w:p>
    <w:p w14:paraId="3DB84826" w14:textId="5D845B93"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50" w:history="1">
        <w:r w:rsidRPr="005D3944">
          <w:rPr>
            <w:rStyle w:val="Collegamentoipertestuale"/>
            <w:noProof/>
          </w:rPr>
          <w:t>M.1 RESPONSABILI DELLA INDIVIDUAZIONE E/O ELABORAZIONE DEI DATI, DELLA TRASMISSIONE E DELLA PUBBLICAZIONE</w:t>
        </w:r>
        <w:r>
          <w:rPr>
            <w:noProof/>
          </w:rPr>
          <w:tab/>
        </w:r>
        <w:r>
          <w:rPr>
            <w:noProof/>
          </w:rPr>
          <w:fldChar w:fldCharType="begin"/>
        </w:r>
        <w:r>
          <w:rPr>
            <w:noProof/>
          </w:rPr>
          <w:instrText xml:space="preserve"> PAGEREF _Toc225863550 \h </w:instrText>
        </w:r>
        <w:r>
          <w:rPr>
            <w:noProof/>
          </w:rPr>
        </w:r>
        <w:r>
          <w:rPr>
            <w:noProof/>
          </w:rPr>
          <w:fldChar w:fldCharType="separate"/>
        </w:r>
        <w:r>
          <w:rPr>
            <w:noProof/>
          </w:rPr>
          <w:t>30</w:t>
        </w:r>
        <w:r>
          <w:rPr>
            <w:noProof/>
          </w:rPr>
          <w:fldChar w:fldCharType="end"/>
        </w:r>
      </w:hyperlink>
    </w:p>
    <w:p w14:paraId="61B4ACC0" w14:textId="2D538B6C" w:rsidR="00233FB8" w:rsidRDefault="00233FB8">
      <w:pPr>
        <w:pStyle w:val="Sommario2"/>
        <w:rPr>
          <w:rFonts w:asciiTheme="minorHAnsi" w:eastAsiaTheme="minorEastAsia" w:hAnsiTheme="minorHAnsi" w:cstheme="minorBidi"/>
          <w:noProof/>
          <w:kern w:val="2"/>
          <w:sz w:val="24"/>
          <w:szCs w:val="24"/>
          <w:lang w:val="it-IT" w:eastAsia="it-IT"/>
          <w14:ligatures w14:val="standardContextual"/>
        </w:rPr>
      </w:pPr>
      <w:hyperlink w:anchor="_Toc225863551" w:history="1">
        <w:r w:rsidRPr="005D3944">
          <w:rPr>
            <w:rStyle w:val="Collegamentoipertestuale"/>
            <w:noProof/>
          </w:rPr>
          <w:t>M.2 RESPONSABILE DELL’ANAGRAFE DELLA STAZIONE APPALTANTE (RASA)</w:t>
        </w:r>
        <w:r>
          <w:rPr>
            <w:noProof/>
          </w:rPr>
          <w:tab/>
        </w:r>
        <w:r>
          <w:rPr>
            <w:noProof/>
          </w:rPr>
          <w:fldChar w:fldCharType="begin"/>
        </w:r>
        <w:r>
          <w:rPr>
            <w:noProof/>
          </w:rPr>
          <w:instrText xml:space="preserve"> PAGEREF _Toc225863551 \h </w:instrText>
        </w:r>
        <w:r>
          <w:rPr>
            <w:noProof/>
          </w:rPr>
        </w:r>
        <w:r>
          <w:rPr>
            <w:noProof/>
          </w:rPr>
          <w:fldChar w:fldCharType="separate"/>
        </w:r>
        <w:r>
          <w:rPr>
            <w:noProof/>
          </w:rPr>
          <w:t>31</w:t>
        </w:r>
        <w:r>
          <w:rPr>
            <w:noProof/>
          </w:rPr>
          <w:fldChar w:fldCharType="end"/>
        </w:r>
      </w:hyperlink>
    </w:p>
    <w:p w14:paraId="6B541E82" w14:textId="39633E07"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52" w:history="1">
        <w:r w:rsidRPr="005D3944">
          <w:rPr>
            <w:rStyle w:val="Collegamentoipertestuale"/>
            <w:noProof/>
          </w:rPr>
          <w:t>N. ALLEGATI</w:t>
        </w:r>
        <w:r>
          <w:rPr>
            <w:noProof/>
          </w:rPr>
          <w:tab/>
        </w:r>
        <w:r>
          <w:rPr>
            <w:noProof/>
          </w:rPr>
          <w:fldChar w:fldCharType="begin"/>
        </w:r>
        <w:r>
          <w:rPr>
            <w:noProof/>
          </w:rPr>
          <w:instrText xml:space="preserve"> PAGEREF _Toc225863552 \h </w:instrText>
        </w:r>
        <w:r>
          <w:rPr>
            <w:noProof/>
          </w:rPr>
        </w:r>
        <w:r>
          <w:rPr>
            <w:noProof/>
          </w:rPr>
          <w:fldChar w:fldCharType="separate"/>
        </w:r>
        <w:r>
          <w:rPr>
            <w:noProof/>
          </w:rPr>
          <w:t>31</w:t>
        </w:r>
        <w:r>
          <w:rPr>
            <w:noProof/>
          </w:rPr>
          <w:fldChar w:fldCharType="end"/>
        </w:r>
      </w:hyperlink>
    </w:p>
    <w:p w14:paraId="15235C7D" w14:textId="157C3796" w:rsidR="00233FB8" w:rsidRDefault="00233FB8">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5863553" w:history="1">
        <w:r w:rsidRPr="005D3944">
          <w:rPr>
            <w:rStyle w:val="Collegamentoipertestuale"/>
            <w:bCs/>
            <w:noProof/>
          </w:rPr>
          <w:t>Elenco degli acronimi e delle abbreviazioni più utilizzati</w:t>
        </w:r>
        <w:r>
          <w:rPr>
            <w:noProof/>
          </w:rPr>
          <w:tab/>
        </w:r>
        <w:r>
          <w:rPr>
            <w:noProof/>
          </w:rPr>
          <w:fldChar w:fldCharType="begin"/>
        </w:r>
        <w:r>
          <w:rPr>
            <w:noProof/>
          </w:rPr>
          <w:instrText xml:space="preserve"> PAGEREF _Toc225863553 \h </w:instrText>
        </w:r>
        <w:r>
          <w:rPr>
            <w:noProof/>
          </w:rPr>
        </w:r>
        <w:r>
          <w:rPr>
            <w:noProof/>
          </w:rPr>
          <w:fldChar w:fldCharType="separate"/>
        </w:r>
        <w:r>
          <w:rPr>
            <w:noProof/>
          </w:rPr>
          <w:t>32</w:t>
        </w:r>
        <w:r>
          <w:rPr>
            <w:noProof/>
          </w:rPr>
          <w:fldChar w:fldCharType="end"/>
        </w:r>
      </w:hyperlink>
    </w:p>
    <w:p w14:paraId="43EB1179" w14:textId="089FD33F" w:rsidR="004F0286" w:rsidRPr="004F0286" w:rsidRDefault="00DC28D5" w:rsidP="00C37203">
      <w:pPr>
        <w:pStyle w:val="Titolo1"/>
        <w:ind w:left="0" w:firstLine="0"/>
      </w:pPr>
      <w:r w:rsidRPr="0009315F">
        <w:fldChar w:fldCharType="end"/>
      </w:r>
      <w:r w:rsidR="00D82DC3">
        <w:br w:type="page"/>
      </w:r>
    </w:p>
    <w:p w14:paraId="2C0A1A56" w14:textId="77777777" w:rsidR="00DC28D5" w:rsidRDefault="00DC28D5" w:rsidP="00D82DC3">
      <w:pPr>
        <w:pStyle w:val="Titolo1"/>
        <w:ind w:left="0" w:firstLine="0"/>
        <w:rPr>
          <w:lang w:eastAsia="it-IT"/>
        </w:rPr>
      </w:pPr>
      <w:bookmarkStart w:id="0" w:name="_Toc225863522"/>
      <w:r w:rsidRPr="0009315F">
        <w:rPr>
          <w:lang w:eastAsia="it-IT"/>
        </w:rPr>
        <w:lastRenderedPageBreak/>
        <w:t xml:space="preserve">A. </w:t>
      </w:r>
      <w:r w:rsidRPr="00CC4646">
        <w:rPr>
          <w:lang w:eastAsia="it-IT"/>
        </w:rPr>
        <w:t>INFORMAZIONI DI CARATTERE</w:t>
      </w:r>
      <w:r w:rsidRPr="0009315F">
        <w:rPr>
          <w:lang w:eastAsia="it-IT"/>
        </w:rPr>
        <w:t xml:space="preserve"> GENERALE</w:t>
      </w:r>
      <w:bookmarkEnd w:id="0"/>
    </w:p>
    <w:p w14:paraId="1AA124BE" w14:textId="77777777" w:rsidR="002E6108" w:rsidRDefault="002E6108" w:rsidP="00812255">
      <w:pPr>
        <w:shd w:val="clear" w:color="auto" w:fill="FFFFFF"/>
        <w:spacing w:after="150" w:line="240" w:lineRule="auto"/>
        <w:contextualSpacing/>
        <w:jc w:val="both"/>
        <w:rPr>
          <w:rFonts w:ascii="Verdana" w:hAnsi="Verdana"/>
          <w:sz w:val="21"/>
          <w:szCs w:val="21"/>
          <w:lang w:eastAsia="it-IT"/>
        </w:rPr>
      </w:pPr>
    </w:p>
    <w:p w14:paraId="330B5C26" w14:textId="77777777" w:rsidR="006D194C" w:rsidRDefault="00DC28D5" w:rsidP="00812255">
      <w:pPr>
        <w:shd w:val="clear" w:color="auto" w:fill="FFFFFF"/>
        <w:spacing w:after="150" w:line="240" w:lineRule="auto"/>
        <w:contextualSpacing/>
        <w:jc w:val="both"/>
        <w:rPr>
          <w:rFonts w:ascii="Verdana" w:hAnsi="Verdana"/>
          <w:sz w:val="21"/>
          <w:szCs w:val="21"/>
        </w:rPr>
      </w:pPr>
      <w:r w:rsidRPr="0009315F">
        <w:rPr>
          <w:rFonts w:ascii="Verdana" w:hAnsi="Verdana"/>
          <w:sz w:val="21"/>
          <w:szCs w:val="21"/>
          <w:lang w:eastAsia="it-IT"/>
        </w:rPr>
        <w:t>Montecatone Rehabilitation Institute</w:t>
      </w:r>
      <w:r w:rsidR="00942703" w:rsidRPr="0009315F">
        <w:rPr>
          <w:rFonts w:ascii="Verdana" w:hAnsi="Verdana"/>
          <w:sz w:val="21"/>
          <w:szCs w:val="21"/>
          <w:lang w:eastAsia="it-IT"/>
        </w:rPr>
        <w:t xml:space="preserve"> (di seguito in sigla MRI</w:t>
      </w:r>
      <w:r w:rsidR="004B4F3E" w:rsidRPr="0009315F">
        <w:rPr>
          <w:rFonts w:ascii="Verdana" w:hAnsi="Verdana"/>
          <w:sz w:val="21"/>
          <w:szCs w:val="21"/>
          <w:lang w:eastAsia="it-IT"/>
        </w:rPr>
        <w:t xml:space="preserve"> e</w:t>
      </w:r>
      <w:r w:rsidR="004B4F3E" w:rsidRPr="0009315F">
        <w:rPr>
          <w:rFonts w:ascii="Verdana" w:hAnsi="Verdana"/>
          <w:bCs/>
          <w:sz w:val="21"/>
          <w:szCs w:val="21"/>
        </w:rPr>
        <w:t>/o Società/Ospedale</w:t>
      </w:r>
      <w:r w:rsidR="00942703" w:rsidRPr="0009315F">
        <w:rPr>
          <w:rFonts w:ascii="Verdana" w:hAnsi="Verdana"/>
          <w:sz w:val="21"/>
          <w:szCs w:val="21"/>
          <w:lang w:eastAsia="it-IT"/>
        </w:rPr>
        <w:t xml:space="preserve">) </w:t>
      </w:r>
      <w:r w:rsidRPr="0009315F">
        <w:rPr>
          <w:rFonts w:ascii="Verdana" w:hAnsi="Verdana"/>
          <w:sz w:val="21"/>
          <w:szCs w:val="21"/>
          <w:lang w:eastAsia="it-IT"/>
        </w:rPr>
        <w:t xml:space="preserve">è una Società per Azioni </w:t>
      </w:r>
      <w:r w:rsidR="00832DF6" w:rsidRPr="00832DF6">
        <w:rPr>
          <w:rFonts w:ascii="Verdana" w:hAnsi="Verdana"/>
          <w:sz w:val="21"/>
          <w:szCs w:val="21"/>
          <w:lang w:eastAsia="it-IT"/>
        </w:rPr>
        <w:t xml:space="preserve">costituita </w:t>
      </w:r>
      <w:r w:rsidR="00832DF6" w:rsidRPr="0009315F">
        <w:rPr>
          <w:rFonts w:ascii="Verdana" w:hAnsi="Verdana"/>
          <w:sz w:val="21"/>
          <w:szCs w:val="21"/>
          <w:lang w:eastAsia="it-IT"/>
        </w:rPr>
        <w:t>nel 1997</w:t>
      </w:r>
      <w:r w:rsidR="00832DF6">
        <w:rPr>
          <w:rFonts w:ascii="Verdana" w:hAnsi="Verdana"/>
          <w:sz w:val="21"/>
          <w:szCs w:val="21"/>
          <w:lang w:eastAsia="it-IT"/>
        </w:rPr>
        <w:t xml:space="preserve"> </w:t>
      </w:r>
      <w:r w:rsidR="00832DF6" w:rsidRPr="00832DF6">
        <w:rPr>
          <w:rFonts w:ascii="Verdana" w:hAnsi="Verdana"/>
          <w:bCs/>
          <w:sz w:val="21"/>
          <w:szCs w:val="21"/>
        </w:rPr>
        <w:t>a</w:t>
      </w:r>
      <w:r w:rsidR="00832DF6" w:rsidRPr="0009315F">
        <w:rPr>
          <w:rFonts w:ascii="Verdana" w:hAnsi="Verdana"/>
          <w:bCs/>
          <w:sz w:val="21"/>
          <w:szCs w:val="21"/>
        </w:rPr>
        <w:t>i sensi dell’articolo 9-</w:t>
      </w:r>
      <w:r w:rsidR="00832DF6" w:rsidRPr="0009315F">
        <w:rPr>
          <w:rFonts w:ascii="Verdana" w:hAnsi="Verdana"/>
          <w:bCs/>
          <w:i/>
          <w:sz w:val="21"/>
          <w:szCs w:val="21"/>
        </w:rPr>
        <w:t>bis</w:t>
      </w:r>
      <w:r w:rsidR="00832DF6" w:rsidRPr="0009315F">
        <w:rPr>
          <w:rFonts w:ascii="Verdana" w:hAnsi="Verdana"/>
          <w:bCs/>
          <w:sz w:val="21"/>
          <w:szCs w:val="21"/>
        </w:rPr>
        <w:t xml:space="preserve"> del decreto legislativo 30 dicembre 1992, n. 502</w:t>
      </w:r>
      <w:r w:rsidR="00832DF6">
        <w:rPr>
          <w:rFonts w:ascii="Verdana" w:hAnsi="Verdana"/>
          <w:bCs/>
          <w:sz w:val="21"/>
          <w:szCs w:val="21"/>
        </w:rPr>
        <w:t xml:space="preserve">, </w:t>
      </w:r>
      <w:r w:rsidRPr="0009315F">
        <w:rPr>
          <w:rFonts w:ascii="Verdana" w:hAnsi="Verdana"/>
          <w:bCs/>
          <w:sz w:val="21"/>
          <w:szCs w:val="21"/>
        </w:rPr>
        <w:t>derivante</w:t>
      </w:r>
      <w:r w:rsidR="00832DF6">
        <w:rPr>
          <w:rFonts w:ascii="Verdana" w:hAnsi="Verdana"/>
          <w:bCs/>
          <w:sz w:val="21"/>
          <w:szCs w:val="21"/>
        </w:rPr>
        <w:t xml:space="preserve"> cioè</w:t>
      </w:r>
      <w:r w:rsidRPr="0009315F">
        <w:rPr>
          <w:rFonts w:ascii="Verdana" w:hAnsi="Verdana"/>
          <w:bCs/>
          <w:sz w:val="21"/>
          <w:szCs w:val="21"/>
        </w:rPr>
        <w:t xml:space="preserve"> da una sperimentazione gestionale</w:t>
      </w:r>
      <w:r w:rsidR="00832DF6">
        <w:rPr>
          <w:rFonts w:ascii="Verdana" w:hAnsi="Verdana"/>
          <w:bCs/>
          <w:sz w:val="21"/>
          <w:szCs w:val="21"/>
        </w:rPr>
        <w:t xml:space="preserve"> </w:t>
      </w:r>
      <w:r w:rsidRPr="0009315F">
        <w:rPr>
          <w:rFonts w:ascii="Verdana" w:hAnsi="Verdana"/>
          <w:bCs/>
          <w:sz w:val="21"/>
          <w:szCs w:val="21"/>
        </w:rPr>
        <w:t>fortemente voluta dalla</w:t>
      </w:r>
      <w:r w:rsidRPr="0009315F">
        <w:rPr>
          <w:rFonts w:ascii="Verdana" w:hAnsi="Verdana"/>
          <w:sz w:val="21"/>
          <w:szCs w:val="21"/>
          <w:lang w:eastAsia="it-IT"/>
        </w:rPr>
        <w:t xml:space="preserve"> Regione Emilia-Romagna.</w:t>
      </w:r>
      <w:r w:rsidRPr="0009315F">
        <w:rPr>
          <w:rFonts w:ascii="Verdana" w:hAnsi="Verdana"/>
          <w:sz w:val="21"/>
          <w:szCs w:val="21"/>
        </w:rPr>
        <w:t xml:space="preserve"> La compagine societaria è invariata dal 2010 e </w:t>
      </w:r>
      <w:r w:rsidR="006D0772" w:rsidRPr="00417E98">
        <w:rPr>
          <w:rFonts w:ascii="Verdana" w:hAnsi="Verdana"/>
          <w:sz w:val="21"/>
          <w:szCs w:val="21"/>
        </w:rPr>
        <w:t>composta</w:t>
      </w:r>
      <w:r w:rsidRPr="00417E98">
        <w:rPr>
          <w:rFonts w:ascii="Verdana" w:hAnsi="Verdana"/>
          <w:sz w:val="21"/>
          <w:szCs w:val="21"/>
        </w:rPr>
        <w:t xml:space="preserve"> dall’Azienda USL di Imola titolare del 99,4</w:t>
      </w:r>
      <w:r w:rsidR="00BF5985" w:rsidRPr="00417E98">
        <w:rPr>
          <w:rFonts w:ascii="Verdana" w:hAnsi="Verdana"/>
          <w:sz w:val="21"/>
          <w:szCs w:val="21"/>
        </w:rPr>
        <w:t>4</w:t>
      </w:r>
      <w:r w:rsidRPr="00417E98">
        <w:rPr>
          <w:rFonts w:ascii="Verdana" w:hAnsi="Verdana"/>
          <w:sz w:val="21"/>
          <w:szCs w:val="21"/>
        </w:rPr>
        <w:t>% delle quote azionarie e dal</w:t>
      </w:r>
      <w:r w:rsidRPr="0009315F">
        <w:rPr>
          <w:rFonts w:ascii="Verdana" w:hAnsi="Verdana"/>
          <w:sz w:val="21"/>
          <w:szCs w:val="21"/>
        </w:rPr>
        <w:t xml:space="preserve"> Comune di Imola titolare dello 0,56% del capitale sociale. </w:t>
      </w:r>
    </w:p>
    <w:p w14:paraId="55DAF073" w14:textId="77777777" w:rsidR="006D0772" w:rsidRDefault="006D0772" w:rsidP="00812255">
      <w:pPr>
        <w:shd w:val="clear" w:color="auto" w:fill="FFFFFF"/>
        <w:spacing w:after="150" w:line="240" w:lineRule="auto"/>
        <w:contextualSpacing/>
        <w:jc w:val="both"/>
        <w:rPr>
          <w:rFonts w:ascii="Verdana" w:hAnsi="Verdana"/>
          <w:sz w:val="21"/>
          <w:szCs w:val="21"/>
        </w:rPr>
      </w:pPr>
    </w:p>
    <w:p w14:paraId="2BD107DD" w14:textId="77777777" w:rsidR="00843932" w:rsidRPr="00903CC1" w:rsidRDefault="00843932" w:rsidP="00843932">
      <w:pPr>
        <w:shd w:val="clear" w:color="auto" w:fill="FFFFFF"/>
        <w:spacing w:after="150" w:line="240" w:lineRule="auto"/>
        <w:contextualSpacing/>
        <w:jc w:val="both"/>
        <w:rPr>
          <w:rFonts w:ascii="Verdana" w:hAnsi="Verdana"/>
          <w:sz w:val="21"/>
          <w:szCs w:val="21"/>
          <w:lang w:eastAsia="it-IT"/>
        </w:rPr>
      </w:pPr>
      <w:r w:rsidRPr="00903CC1">
        <w:rPr>
          <w:rFonts w:ascii="Verdana" w:hAnsi="Verdana"/>
          <w:sz w:val="21"/>
          <w:szCs w:val="21"/>
          <w:lang w:eastAsia="it-IT"/>
        </w:rPr>
        <w:t xml:space="preserve">Lo Statuto societario è stato revisionato dapprima nell’ottobre 2023 e successivamente a novembre 2025 con la previsione </w:t>
      </w:r>
      <w:r w:rsidRPr="00903CC1">
        <w:rPr>
          <w:rFonts w:ascii="Verdana" w:hAnsi="Verdana"/>
          <w:sz w:val="21"/>
          <w:szCs w:val="21"/>
        </w:rPr>
        <w:t xml:space="preserve">della figura del Commissario Straordinario a far data dal 19 novembre 2023 </w:t>
      </w:r>
      <w:r w:rsidRPr="00903CC1">
        <w:rPr>
          <w:rFonts w:ascii="Verdana" w:hAnsi="Verdana"/>
          <w:sz w:val="21"/>
          <w:szCs w:val="21"/>
          <w:lang w:eastAsia="it-IT"/>
        </w:rPr>
        <w:t xml:space="preserve">fino al 31 dicembre 2026, </w:t>
      </w:r>
      <w:r w:rsidRPr="00903CC1">
        <w:rPr>
          <w:rFonts w:ascii="Verdana" w:hAnsi="Verdana"/>
          <w:i/>
          <w:iCs/>
          <w:sz w:val="21"/>
          <w:szCs w:val="21"/>
          <w:lang w:eastAsia="it-IT"/>
        </w:rPr>
        <w:t>“al fine di garantire la conduzione della direzione strategica dell’istituto coordinandola con i processi di riorganizzazione e integrazione volti alla ridefinizione della veste giuridica di Montecatone R.I. Spa, con l’obiettivo di creare un Ente di diritto pubblico appartenente al Sistema Sanitario Regionale”.</w:t>
      </w:r>
    </w:p>
    <w:p w14:paraId="4B475307" w14:textId="3B40EB04" w:rsidR="00CA7E94" w:rsidRPr="00903CC1" w:rsidRDefault="00843932" w:rsidP="00CA7E94">
      <w:pPr>
        <w:shd w:val="clear" w:color="auto" w:fill="FFFFFF"/>
        <w:spacing w:after="150" w:line="240" w:lineRule="auto"/>
        <w:contextualSpacing/>
        <w:jc w:val="both"/>
        <w:rPr>
          <w:rFonts w:ascii="Verdana" w:hAnsi="Verdana"/>
          <w:sz w:val="21"/>
          <w:szCs w:val="21"/>
          <w:lang w:eastAsia="it-IT"/>
        </w:rPr>
      </w:pPr>
      <w:r w:rsidRPr="00903CC1">
        <w:rPr>
          <w:rFonts w:ascii="Verdana" w:hAnsi="Verdana"/>
          <w:sz w:val="21"/>
          <w:szCs w:val="21"/>
          <w:lang w:eastAsia="it-IT"/>
        </w:rPr>
        <w:t xml:space="preserve">  </w:t>
      </w:r>
    </w:p>
    <w:p w14:paraId="314DE65C" w14:textId="79A92234" w:rsidR="00DC28D5" w:rsidRPr="00417E98" w:rsidRDefault="00DC28D5" w:rsidP="00812255">
      <w:pPr>
        <w:autoSpaceDE w:val="0"/>
        <w:spacing w:after="0" w:line="240" w:lineRule="auto"/>
        <w:contextualSpacing/>
        <w:jc w:val="both"/>
        <w:rPr>
          <w:rFonts w:ascii="Verdana" w:hAnsi="Verdana"/>
          <w:sz w:val="21"/>
          <w:szCs w:val="21"/>
          <w:lang w:eastAsia="it-IT"/>
        </w:rPr>
      </w:pPr>
      <w:r w:rsidRPr="00417E98">
        <w:rPr>
          <w:rFonts w:ascii="Verdana" w:hAnsi="Verdana"/>
          <w:bCs/>
          <w:sz w:val="21"/>
          <w:szCs w:val="21"/>
        </w:rPr>
        <w:t>MRI</w:t>
      </w:r>
      <w:r w:rsidR="00602DE8" w:rsidRPr="00417E98">
        <w:rPr>
          <w:rFonts w:ascii="Verdana" w:hAnsi="Verdana"/>
          <w:bCs/>
          <w:sz w:val="21"/>
          <w:szCs w:val="21"/>
        </w:rPr>
        <w:t xml:space="preserve"> si configura </w:t>
      </w:r>
      <w:r w:rsidR="00E01C22" w:rsidRPr="00417E98">
        <w:rPr>
          <w:rFonts w:ascii="Verdana" w:hAnsi="Verdana"/>
          <w:bCs/>
          <w:sz w:val="21"/>
          <w:szCs w:val="21"/>
        </w:rPr>
        <w:t xml:space="preserve">quindi </w:t>
      </w:r>
      <w:r w:rsidR="00602DE8" w:rsidRPr="00417E98">
        <w:rPr>
          <w:rFonts w:ascii="Verdana" w:hAnsi="Verdana"/>
          <w:bCs/>
          <w:sz w:val="21"/>
          <w:szCs w:val="21"/>
        </w:rPr>
        <w:t>come</w:t>
      </w:r>
      <w:r w:rsidRPr="00417E98">
        <w:rPr>
          <w:rFonts w:ascii="Verdana" w:hAnsi="Verdana"/>
          <w:sz w:val="21"/>
          <w:szCs w:val="21"/>
        </w:rPr>
        <w:t xml:space="preserve"> “</w:t>
      </w:r>
      <w:r w:rsidRPr="00417E98">
        <w:rPr>
          <w:rFonts w:ascii="Verdana" w:hAnsi="Verdana"/>
          <w:i/>
          <w:sz w:val="21"/>
          <w:szCs w:val="21"/>
        </w:rPr>
        <w:t>società in controllo pubblico</w:t>
      </w:r>
      <w:r w:rsidR="00602DE8" w:rsidRPr="00417E98">
        <w:rPr>
          <w:rFonts w:ascii="Verdana" w:hAnsi="Verdana"/>
          <w:i/>
          <w:sz w:val="21"/>
          <w:szCs w:val="21"/>
        </w:rPr>
        <w:t>”</w:t>
      </w:r>
      <w:r w:rsidRPr="00417E98">
        <w:rPr>
          <w:rFonts w:ascii="Verdana" w:hAnsi="Verdana"/>
          <w:i/>
          <w:sz w:val="21"/>
          <w:szCs w:val="21"/>
        </w:rPr>
        <w:t xml:space="preserve"> </w:t>
      </w:r>
      <w:r w:rsidR="00602DE8" w:rsidRPr="00417E98">
        <w:rPr>
          <w:rFonts w:ascii="Verdana" w:hAnsi="Verdana"/>
          <w:iCs/>
          <w:sz w:val="21"/>
          <w:szCs w:val="21"/>
        </w:rPr>
        <w:t xml:space="preserve">in base </w:t>
      </w:r>
      <w:r w:rsidRPr="00417E98">
        <w:rPr>
          <w:rFonts w:ascii="Verdana" w:hAnsi="Verdana"/>
          <w:iCs/>
          <w:sz w:val="21"/>
          <w:szCs w:val="21"/>
        </w:rPr>
        <w:t>al decreto legislativo emanato in attuazione dell'</w:t>
      </w:r>
      <w:hyperlink r:id="rId8" w:anchor="18" w:history="1">
        <w:r w:rsidRPr="00417E98">
          <w:rPr>
            <w:rStyle w:val="Collegamentoipertestuale"/>
            <w:rFonts w:ascii="Verdana" w:hAnsi="Verdana"/>
            <w:iCs/>
            <w:color w:val="auto"/>
            <w:sz w:val="21"/>
            <w:szCs w:val="21"/>
          </w:rPr>
          <w:t>articolo 18 della legge 7 agosto 2015, n. 124</w:t>
        </w:r>
      </w:hyperlink>
      <w:r w:rsidRPr="00417E98">
        <w:rPr>
          <w:rFonts w:ascii="Verdana" w:hAnsi="Verdana"/>
          <w:iCs/>
          <w:sz w:val="21"/>
          <w:szCs w:val="21"/>
        </w:rPr>
        <w:t xml:space="preserve">. </w:t>
      </w:r>
      <w:r w:rsidR="00602DE8" w:rsidRPr="00417E98">
        <w:rPr>
          <w:rFonts w:ascii="Verdana" w:hAnsi="Verdana"/>
          <w:iCs/>
          <w:sz w:val="21"/>
          <w:szCs w:val="21"/>
        </w:rPr>
        <w:t xml:space="preserve">Come tale, è soggetta sia agli obblighi di prevenzione </w:t>
      </w:r>
      <w:r w:rsidR="00602DE8" w:rsidRPr="00417E98">
        <w:rPr>
          <w:rFonts w:ascii="Verdana" w:hAnsi="Verdana"/>
          <w:sz w:val="21"/>
          <w:szCs w:val="21"/>
          <w:lang w:eastAsia="it-IT"/>
        </w:rPr>
        <w:t xml:space="preserve">dei fenomeni di corruzione e di illegalità in coerenza con le finalità della L. 190/2012, </w:t>
      </w:r>
      <w:r w:rsidR="00600364" w:rsidRPr="00417E98">
        <w:rPr>
          <w:rFonts w:ascii="Verdana" w:hAnsi="Verdana"/>
          <w:sz w:val="21"/>
          <w:szCs w:val="21"/>
          <w:lang w:eastAsia="it-IT"/>
        </w:rPr>
        <w:t>sia</w:t>
      </w:r>
      <w:r w:rsidR="00602DE8" w:rsidRPr="00417E98">
        <w:rPr>
          <w:rFonts w:ascii="Verdana" w:hAnsi="Verdana"/>
          <w:sz w:val="21"/>
          <w:szCs w:val="21"/>
          <w:lang w:eastAsia="it-IT"/>
        </w:rPr>
        <w:t xml:space="preserve"> agli obblighi di trasparenza di cui al </w:t>
      </w:r>
      <w:proofErr w:type="spellStart"/>
      <w:r w:rsidR="00E01C22" w:rsidRPr="00417E98">
        <w:rPr>
          <w:rFonts w:ascii="Verdana" w:hAnsi="Verdana"/>
          <w:sz w:val="21"/>
          <w:szCs w:val="21"/>
          <w:lang w:eastAsia="it-IT"/>
        </w:rPr>
        <w:t>D.Lgs.</w:t>
      </w:r>
      <w:proofErr w:type="spellEnd"/>
      <w:r w:rsidR="00E01C22" w:rsidRPr="00417E98">
        <w:rPr>
          <w:rFonts w:ascii="Verdana" w:hAnsi="Verdana"/>
          <w:sz w:val="21"/>
          <w:szCs w:val="21"/>
          <w:lang w:eastAsia="it-IT"/>
        </w:rPr>
        <w:t xml:space="preserve"> </w:t>
      </w:r>
      <w:r w:rsidR="00602DE8" w:rsidRPr="00417E98">
        <w:rPr>
          <w:rFonts w:ascii="Verdana" w:hAnsi="Verdana"/>
          <w:sz w:val="21"/>
          <w:szCs w:val="21"/>
          <w:lang w:eastAsia="it-IT"/>
        </w:rPr>
        <w:t>33 del 2013.</w:t>
      </w:r>
    </w:p>
    <w:p w14:paraId="148B1BFC" w14:textId="77777777" w:rsidR="00925699" w:rsidRPr="00417E98" w:rsidRDefault="00925699" w:rsidP="00812255">
      <w:pPr>
        <w:autoSpaceDE w:val="0"/>
        <w:spacing w:after="0" w:line="240" w:lineRule="auto"/>
        <w:contextualSpacing/>
        <w:jc w:val="both"/>
        <w:rPr>
          <w:rFonts w:ascii="Verdana" w:hAnsi="Verdana"/>
          <w:iCs/>
          <w:sz w:val="21"/>
          <w:szCs w:val="21"/>
        </w:rPr>
      </w:pPr>
    </w:p>
    <w:p w14:paraId="37BD4DBE" w14:textId="2AAFA0E4" w:rsidR="002622AC" w:rsidRPr="00903CC1" w:rsidRDefault="002622AC" w:rsidP="002622AC">
      <w:pPr>
        <w:shd w:val="clear" w:color="auto" w:fill="FFFFFF"/>
        <w:spacing w:after="150" w:line="240" w:lineRule="auto"/>
        <w:contextualSpacing/>
        <w:jc w:val="both"/>
        <w:rPr>
          <w:rFonts w:ascii="Verdana" w:hAnsi="Verdana"/>
          <w:sz w:val="21"/>
          <w:szCs w:val="21"/>
          <w:lang w:eastAsia="it-IT"/>
        </w:rPr>
      </w:pPr>
      <w:r>
        <w:rPr>
          <w:rFonts w:ascii="Verdana" w:hAnsi="Verdana"/>
          <w:sz w:val="21"/>
          <w:szCs w:val="21"/>
          <w:lang w:eastAsia="it-IT"/>
        </w:rPr>
        <w:t xml:space="preserve">Il </w:t>
      </w:r>
      <w:r w:rsidRPr="00417E98">
        <w:rPr>
          <w:rFonts w:ascii="Verdana" w:hAnsi="Verdana"/>
          <w:sz w:val="21"/>
          <w:szCs w:val="21"/>
          <w:lang w:eastAsia="it-IT"/>
        </w:rPr>
        <w:t xml:space="preserve">Consiglio di Amministrazione </w:t>
      </w:r>
      <w:r w:rsidRPr="00417E98">
        <w:rPr>
          <w:rFonts w:ascii="Verdana" w:eastAsia="MS Mincho" w:hAnsi="Verdana"/>
          <w:sz w:val="21"/>
          <w:szCs w:val="21"/>
          <w:lang w:eastAsia="ja-JP"/>
        </w:rPr>
        <w:t xml:space="preserve">in carica dal </w:t>
      </w:r>
      <w:r>
        <w:rPr>
          <w:rFonts w:ascii="Verdana" w:eastAsia="MS Mincho" w:hAnsi="Verdana"/>
          <w:sz w:val="21"/>
          <w:szCs w:val="21"/>
          <w:lang w:eastAsia="ja-JP"/>
        </w:rPr>
        <w:t>9</w:t>
      </w:r>
      <w:r w:rsidRPr="00417E98">
        <w:rPr>
          <w:rFonts w:ascii="Verdana" w:eastAsia="MS Mincho" w:hAnsi="Verdana"/>
          <w:sz w:val="21"/>
          <w:szCs w:val="21"/>
          <w:lang w:eastAsia="ja-JP"/>
        </w:rPr>
        <w:t xml:space="preserve"> luglio 202</w:t>
      </w:r>
      <w:r>
        <w:rPr>
          <w:rFonts w:ascii="Verdana" w:eastAsia="MS Mincho" w:hAnsi="Verdana"/>
          <w:sz w:val="21"/>
          <w:szCs w:val="21"/>
          <w:lang w:eastAsia="ja-JP"/>
        </w:rPr>
        <w:t>4</w:t>
      </w:r>
      <w:r w:rsidRPr="00417E98">
        <w:rPr>
          <w:rFonts w:ascii="Verdana" w:eastAsia="MS Mincho" w:hAnsi="Verdana"/>
          <w:sz w:val="21"/>
          <w:szCs w:val="21"/>
          <w:lang w:eastAsia="ja-JP"/>
        </w:rPr>
        <w:t xml:space="preserve"> per un triennio fino all’approvazione del bilancio di esercizio al 31/12/202</w:t>
      </w:r>
      <w:r>
        <w:rPr>
          <w:rFonts w:ascii="Verdana" w:eastAsia="MS Mincho" w:hAnsi="Verdana"/>
          <w:sz w:val="21"/>
          <w:szCs w:val="21"/>
          <w:lang w:eastAsia="ja-JP"/>
        </w:rPr>
        <w:t>6</w:t>
      </w:r>
      <w:r w:rsidRPr="00417E98">
        <w:rPr>
          <w:rFonts w:ascii="Verdana" w:hAnsi="Verdana"/>
          <w:sz w:val="21"/>
          <w:szCs w:val="21"/>
          <w:lang w:eastAsia="it-IT"/>
        </w:rPr>
        <w:t xml:space="preserve"> è costituito da tre componenti (Presidente </w:t>
      </w:r>
      <w:r>
        <w:rPr>
          <w:rFonts w:ascii="Verdana" w:hAnsi="Verdana"/>
          <w:sz w:val="21"/>
          <w:szCs w:val="21"/>
          <w:lang w:eastAsia="it-IT"/>
        </w:rPr>
        <w:t>Gabriele</w:t>
      </w:r>
      <w:r w:rsidRPr="00417E98">
        <w:rPr>
          <w:rFonts w:ascii="Verdana" w:hAnsi="Verdana"/>
          <w:sz w:val="21"/>
          <w:szCs w:val="21"/>
          <w:lang w:eastAsia="it-IT"/>
        </w:rPr>
        <w:t xml:space="preserve"> P</w:t>
      </w:r>
      <w:r>
        <w:rPr>
          <w:rFonts w:ascii="Verdana" w:hAnsi="Verdana"/>
          <w:sz w:val="21"/>
          <w:szCs w:val="21"/>
          <w:lang w:eastAsia="it-IT"/>
        </w:rPr>
        <w:t>eron</w:t>
      </w:r>
      <w:r w:rsidRPr="00417E98">
        <w:rPr>
          <w:rFonts w:ascii="Verdana" w:hAnsi="Verdana"/>
          <w:sz w:val="21"/>
          <w:szCs w:val="21"/>
          <w:lang w:eastAsia="it-IT"/>
        </w:rPr>
        <w:t>i; consiglier</w:t>
      </w:r>
      <w:r>
        <w:rPr>
          <w:rFonts w:ascii="Verdana" w:hAnsi="Verdana"/>
          <w:sz w:val="21"/>
          <w:szCs w:val="21"/>
          <w:lang w:eastAsia="it-IT"/>
        </w:rPr>
        <w:t>a Paola Cassani</w:t>
      </w:r>
      <w:r w:rsidRPr="00417E98">
        <w:rPr>
          <w:rFonts w:ascii="Verdana" w:hAnsi="Verdana"/>
          <w:sz w:val="21"/>
          <w:szCs w:val="21"/>
          <w:lang w:eastAsia="it-IT"/>
        </w:rPr>
        <w:t xml:space="preserve">; consigliera </w:t>
      </w:r>
      <w:r>
        <w:rPr>
          <w:rFonts w:ascii="Verdana" w:hAnsi="Verdana"/>
          <w:sz w:val="21"/>
          <w:szCs w:val="21"/>
          <w:lang w:eastAsia="it-IT"/>
        </w:rPr>
        <w:t xml:space="preserve">Elisabetta </w:t>
      </w:r>
      <w:r w:rsidRPr="00903CC1">
        <w:rPr>
          <w:rFonts w:ascii="Verdana" w:hAnsi="Verdana"/>
          <w:sz w:val="21"/>
          <w:szCs w:val="21"/>
          <w:lang w:eastAsia="it-IT"/>
        </w:rPr>
        <w:t>Magni)</w:t>
      </w:r>
      <w:r w:rsidR="0016731E" w:rsidRPr="00903CC1">
        <w:rPr>
          <w:rFonts w:ascii="Verdana" w:hAnsi="Verdana"/>
          <w:sz w:val="21"/>
          <w:szCs w:val="21"/>
          <w:lang w:eastAsia="it-IT"/>
        </w:rPr>
        <w:t>.</w:t>
      </w:r>
      <w:r w:rsidRPr="00903CC1">
        <w:rPr>
          <w:rFonts w:ascii="Verdana" w:hAnsi="Verdana"/>
          <w:sz w:val="21"/>
          <w:szCs w:val="21"/>
          <w:lang w:eastAsia="it-IT"/>
        </w:rPr>
        <w:t xml:space="preserve"> </w:t>
      </w:r>
      <w:r w:rsidR="0016731E" w:rsidRPr="00903CC1">
        <w:rPr>
          <w:rFonts w:ascii="Verdana" w:hAnsi="Verdana"/>
          <w:sz w:val="21"/>
          <w:szCs w:val="21"/>
          <w:lang w:eastAsia="it-IT"/>
        </w:rPr>
        <w:t>A</w:t>
      </w:r>
      <w:r w:rsidRPr="00903CC1">
        <w:rPr>
          <w:rFonts w:ascii="Verdana" w:hAnsi="Verdana"/>
          <w:sz w:val="21"/>
          <w:szCs w:val="21"/>
          <w:lang w:eastAsia="it-IT"/>
        </w:rPr>
        <w:t xml:space="preserve"> decorrere dal 19 novembre 2023, </w:t>
      </w:r>
      <w:proofErr w:type="spellStart"/>
      <w:r w:rsidRPr="00903CC1">
        <w:rPr>
          <w:rFonts w:ascii="Verdana" w:hAnsi="Verdana"/>
          <w:sz w:val="21"/>
          <w:szCs w:val="21"/>
          <w:lang w:eastAsia="it-IT"/>
        </w:rPr>
        <w:t>l’Ing</w:t>
      </w:r>
      <w:proofErr w:type="spellEnd"/>
      <w:r w:rsidRPr="00903CC1">
        <w:rPr>
          <w:rFonts w:ascii="Verdana" w:hAnsi="Verdana"/>
          <w:sz w:val="21"/>
          <w:szCs w:val="21"/>
          <w:lang w:eastAsia="it-IT"/>
        </w:rPr>
        <w:t>. Mario Tubertini è stato nominato dall’organo amministrativo con l’incarico di Commissario Straordinario</w:t>
      </w:r>
      <w:r w:rsidR="003831D3" w:rsidRPr="00903CC1">
        <w:rPr>
          <w:rFonts w:ascii="Verdana" w:hAnsi="Verdana"/>
          <w:sz w:val="21"/>
          <w:szCs w:val="21"/>
          <w:lang w:eastAsia="it-IT"/>
        </w:rPr>
        <w:t xml:space="preserve"> –</w:t>
      </w:r>
      <w:r w:rsidR="00436280" w:rsidRPr="00903CC1">
        <w:rPr>
          <w:rFonts w:ascii="Verdana" w:hAnsi="Verdana"/>
          <w:sz w:val="21"/>
          <w:szCs w:val="21"/>
          <w:lang w:eastAsia="it-IT"/>
        </w:rPr>
        <w:t xml:space="preserve"> </w:t>
      </w:r>
      <w:r w:rsidR="00B8552A" w:rsidRPr="00903CC1">
        <w:rPr>
          <w:rFonts w:ascii="Verdana" w:hAnsi="Verdana"/>
          <w:sz w:val="21"/>
          <w:szCs w:val="21"/>
          <w:lang w:eastAsia="it-IT"/>
        </w:rPr>
        <w:t>mandato</w:t>
      </w:r>
      <w:r w:rsidR="003831D3" w:rsidRPr="00903CC1">
        <w:rPr>
          <w:rFonts w:ascii="Verdana" w:hAnsi="Verdana"/>
          <w:sz w:val="21"/>
          <w:szCs w:val="21"/>
          <w:lang w:eastAsia="it-IT"/>
        </w:rPr>
        <w:t xml:space="preserve"> rinnovato a novembre 2025 fino a</w:t>
      </w:r>
      <w:r w:rsidR="0016731E" w:rsidRPr="00903CC1">
        <w:rPr>
          <w:rFonts w:ascii="Verdana" w:hAnsi="Verdana"/>
          <w:sz w:val="21"/>
          <w:szCs w:val="21"/>
          <w:lang w:eastAsia="it-IT"/>
        </w:rPr>
        <w:t xml:space="preserve">l </w:t>
      </w:r>
      <w:r w:rsidR="00CC5C9B" w:rsidRPr="00903CC1">
        <w:rPr>
          <w:rFonts w:ascii="Verdana" w:hAnsi="Verdana"/>
          <w:sz w:val="21"/>
          <w:szCs w:val="21"/>
          <w:lang w:eastAsia="it-IT"/>
        </w:rPr>
        <w:t>31</w:t>
      </w:r>
      <w:r w:rsidR="0016731E" w:rsidRPr="00903CC1">
        <w:rPr>
          <w:rFonts w:ascii="Verdana" w:hAnsi="Verdana"/>
          <w:sz w:val="21"/>
          <w:szCs w:val="21"/>
          <w:lang w:eastAsia="it-IT"/>
        </w:rPr>
        <w:t xml:space="preserve"> dicembre </w:t>
      </w:r>
      <w:r w:rsidR="00CC5C9B" w:rsidRPr="00903CC1">
        <w:rPr>
          <w:rFonts w:ascii="Verdana" w:hAnsi="Verdana"/>
          <w:sz w:val="21"/>
          <w:szCs w:val="21"/>
          <w:lang w:eastAsia="it-IT"/>
        </w:rPr>
        <w:t>2026</w:t>
      </w:r>
      <w:r w:rsidR="0016731E" w:rsidRPr="00903CC1">
        <w:rPr>
          <w:rFonts w:ascii="Verdana" w:hAnsi="Verdana"/>
          <w:sz w:val="21"/>
          <w:szCs w:val="21"/>
          <w:lang w:eastAsia="it-IT"/>
        </w:rPr>
        <w:t xml:space="preserve">, conferendo più specificatamente allo stesso il potere di esplorare la possibilità, i costi correlati e le opportunità associate al passaggio di Montecatone </w:t>
      </w:r>
      <w:proofErr w:type="spellStart"/>
      <w:r w:rsidR="0016731E" w:rsidRPr="00903CC1">
        <w:rPr>
          <w:rFonts w:ascii="Verdana" w:hAnsi="Verdana"/>
          <w:sz w:val="21"/>
          <w:szCs w:val="21"/>
          <w:lang w:eastAsia="it-IT"/>
        </w:rPr>
        <w:t>Rehabilitation</w:t>
      </w:r>
      <w:proofErr w:type="spellEnd"/>
      <w:r w:rsidR="0016731E" w:rsidRPr="00903CC1">
        <w:rPr>
          <w:rFonts w:ascii="Verdana" w:hAnsi="Verdana"/>
          <w:sz w:val="21"/>
          <w:szCs w:val="21"/>
          <w:lang w:eastAsia="it-IT"/>
        </w:rPr>
        <w:t xml:space="preserve"> Institute S.p.A. a Fondazione Pubblica (solo soci pubblici).</w:t>
      </w:r>
    </w:p>
    <w:p w14:paraId="745C3887" w14:textId="77777777" w:rsidR="002622AC" w:rsidRPr="00903CC1" w:rsidRDefault="002622AC" w:rsidP="002622AC">
      <w:pPr>
        <w:shd w:val="clear" w:color="auto" w:fill="FFFFFF"/>
        <w:spacing w:after="150" w:line="240" w:lineRule="auto"/>
        <w:contextualSpacing/>
        <w:jc w:val="both"/>
        <w:rPr>
          <w:rFonts w:ascii="Verdana" w:hAnsi="Verdana"/>
          <w:sz w:val="21"/>
          <w:szCs w:val="21"/>
          <w:lang w:eastAsia="it-IT"/>
        </w:rPr>
      </w:pPr>
    </w:p>
    <w:p w14:paraId="10F19054" w14:textId="77777777" w:rsidR="002529CC" w:rsidRDefault="002529CC" w:rsidP="00812255">
      <w:pPr>
        <w:autoSpaceDE w:val="0"/>
        <w:spacing w:after="0" w:line="240" w:lineRule="auto"/>
        <w:contextualSpacing/>
        <w:jc w:val="both"/>
        <w:rPr>
          <w:rFonts w:ascii="Verdana" w:hAnsi="Verdana"/>
          <w:sz w:val="21"/>
          <w:szCs w:val="21"/>
          <w:lang w:eastAsia="it-IT"/>
        </w:rPr>
      </w:pPr>
      <w:r w:rsidRPr="00C24245">
        <w:rPr>
          <w:rFonts w:ascii="Verdana" w:hAnsi="Verdana"/>
          <w:sz w:val="21"/>
          <w:szCs w:val="21"/>
          <w:lang w:eastAsia="it-IT"/>
        </w:rPr>
        <w:t>Le</w:t>
      </w:r>
      <w:r w:rsidR="00DC28D5" w:rsidRPr="00C24245">
        <w:rPr>
          <w:rFonts w:ascii="Verdana" w:hAnsi="Verdana"/>
          <w:sz w:val="21"/>
          <w:szCs w:val="21"/>
          <w:lang w:eastAsia="it-IT"/>
        </w:rPr>
        <w:t xml:space="preserve"> misure di prevenzione della corruzione </w:t>
      </w:r>
      <w:r w:rsidRPr="00C24245">
        <w:rPr>
          <w:rFonts w:ascii="Verdana" w:hAnsi="Verdana"/>
          <w:sz w:val="21"/>
          <w:szCs w:val="21"/>
          <w:lang w:eastAsia="it-IT"/>
        </w:rPr>
        <w:t xml:space="preserve">e di trasparenza sono da considerarsi </w:t>
      </w:r>
      <w:r w:rsidR="00DC28D5" w:rsidRPr="00C24245">
        <w:rPr>
          <w:rFonts w:ascii="Verdana" w:hAnsi="Verdana"/>
          <w:sz w:val="21"/>
          <w:szCs w:val="21"/>
          <w:lang w:eastAsia="it-IT"/>
        </w:rPr>
        <w:t>integrative di quelle adottate ai sensi del decreto legislativo 8 giugno 2001, n. 231</w:t>
      </w:r>
      <w:r w:rsidRPr="00C24245">
        <w:rPr>
          <w:rFonts w:ascii="Verdana" w:hAnsi="Verdana"/>
          <w:sz w:val="21"/>
          <w:szCs w:val="21"/>
          <w:lang w:eastAsia="it-IT"/>
        </w:rPr>
        <w:t xml:space="preserve"> sulla responsabilità amministrativa degli Enti</w:t>
      </w:r>
      <w:r w:rsidR="00DC28D5" w:rsidRPr="00C24245">
        <w:rPr>
          <w:rFonts w:ascii="Verdana" w:hAnsi="Verdana"/>
          <w:sz w:val="21"/>
          <w:szCs w:val="21"/>
          <w:lang w:eastAsia="it-IT"/>
        </w:rPr>
        <w:t xml:space="preserve"> (art. 1, co. 2-</w:t>
      </w:r>
      <w:r w:rsidR="00DC28D5" w:rsidRPr="00C24245">
        <w:rPr>
          <w:rFonts w:ascii="Verdana" w:hAnsi="Verdana"/>
          <w:i/>
          <w:sz w:val="21"/>
          <w:szCs w:val="21"/>
          <w:lang w:eastAsia="it-IT"/>
        </w:rPr>
        <w:t>bis</w:t>
      </w:r>
      <w:r w:rsidR="00DC28D5" w:rsidRPr="00C24245">
        <w:rPr>
          <w:rFonts w:ascii="Verdana" w:hAnsi="Verdana"/>
          <w:sz w:val="21"/>
          <w:szCs w:val="21"/>
          <w:lang w:eastAsia="it-IT"/>
        </w:rPr>
        <w:t>, l. 190/2012)</w:t>
      </w:r>
      <w:r w:rsidRPr="00C24245">
        <w:rPr>
          <w:rFonts w:ascii="Verdana" w:hAnsi="Verdana"/>
          <w:sz w:val="21"/>
          <w:szCs w:val="21"/>
          <w:lang w:eastAsia="it-IT"/>
        </w:rPr>
        <w:t xml:space="preserve">, andando ad </w:t>
      </w:r>
      <w:r w:rsidR="00DC28D5" w:rsidRPr="00C24245">
        <w:rPr>
          <w:rFonts w:ascii="Verdana" w:hAnsi="Verdana"/>
          <w:sz w:val="21"/>
          <w:szCs w:val="21"/>
          <w:lang w:eastAsia="it-IT"/>
        </w:rPr>
        <w:t>integra</w:t>
      </w:r>
      <w:r w:rsidRPr="00C24245">
        <w:rPr>
          <w:rFonts w:ascii="Verdana" w:hAnsi="Verdana"/>
          <w:sz w:val="21"/>
          <w:szCs w:val="21"/>
          <w:lang w:eastAsia="it-IT"/>
        </w:rPr>
        <w:t>re</w:t>
      </w:r>
      <w:r w:rsidR="00DC28D5" w:rsidRPr="00C24245">
        <w:rPr>
          <w:rFonts w:ascii="Verdana" w:hAnsi="Verdana"/>
          <w:sz w:val="21"/>
          <w:szCs w:val="21"/>
          <w:lang w:eastAsia="it-IT"/>
        </w:rPr>
        <w:t xml:space="preserve"> il Modello di Organizzazione, Gestione e Controllo aziendale (di seguito MOG)</w:t>
      </w:r>
      <w:r w:rsidRPr="00C24245">
        <w:rPr>
          <w:rFonts w:ascii="Verdana" w:hAnsi="Verdana"/>
          <w:sz w:val="21"/>
          <w:szCs w:val="21"/>
          <w:lang w:eastAsia="it-IT"/>
        </w:rPr>
        <w:t>.</w:t>
      </w:r>
    </w:p>
    <w:p w14:paraId="1E3A8E9B" w14:textId="77777777" w:rsidR="00867B5F" w:rsidRPr="00C24245" w:rsidRDefault="00867B5F" w:rsidP="00812255">
      <w:pPr>
        <w:autoSpaceDE w:val="0"/>
        <w:spacing w:after="0" w:line="240" w:lineRule="auto"/>
        <w:contextualSpacing/>
        <w:jc w:val="both"/>
        <w:rPr>
          <w:rFonts w:ascii="Verdana" w:hAnsi="Verdana"/>
          <w:sz w:val="21"/>
          <w:szCs w:val="21"/>
          <w:lang w:eastAsia="it-IT"/>
        </w:rPr>
      </w:pPr>
    </w:p>
    <w:p w14:paraId="477D8A9A" w14:textId="77777777" w:rsidR="002529CC" w:rsidRDefault="002529CC" w:rsidP="00812255">
      <w:pPr>
        <w:shd w:val="clear" w:color="auto" w:fill="FFFFFF"/>
        <w:spacing w:after="150" w:line="240" w:lineRule="auto"/>
        <w:contextualSpacing/>
        <w:jc w:val="both"/>
        <w:rPr>
          <w:rFonts w:ascii="Verdana" w:hAnsi="Verdana"/>
          <w:sz w:val="21"/>
          <w:szCs w:val="21"/>
          <w:lang w:eastAsia="it-IT"/>
        </w:rPr>
      </w:pPr>
      <w:r w:rsidRPr="00417E98">
        <w:rPr>
          <w:rFonts w:ascii="Verdana" w:hAnsi="Verdana"/>
          <w:sz w:val="21"/>
          <w:szCs w:val="21"/>
          <w:lang w:eastAsia="it-IT"/>
        </w:rPr>
        <w:t xml:space="preserve">Il MOG </w:t>
      </w:r>
      <w:r w:rsidR="002F2867">
        <w:rPr>
          <w:rFonts w:ascii="Verdana" w:hAnsi="Verdana"/>
          <w:sz w:val="21"/>
          <w:szCs w:val="21"/>
          <w:lang w:eastAsia="it-IT"/>
        </w:rPr>
        <w:t xml:space="preserve">(DOC39) </w:t>
      </w:r>
      <w:r w:rsidRPr="00417E98">
        <w:rPr>
          <w:rFonts w:ascii="Verdana" w:hAnsi="Verdana"/>
          <w:sz w:val="21"/>
          <w:szCs w:val="21"/>
          <w:lang w:eastAsia="it-IT"/>
        </w:rPr>
        <w:t>oggi si compone di:</w:t>
      </w:r>
    </w:p>
    <w:p w14:paraId="363B1BEC" w14:textId="77777777" w:rsidR="00867B5F" w:rsidRPr="003D19F9" w:rsidRDefault="00867B5F" w:rsidP="00812255">
      <w:pPr>
        <w:shd w:val="clear" w:color="auto" w:fill="FFFFFF"/>
        <w:spacing w:after="150" w:line="240" w:lineRule="auto"/>
        <w:contextualSpacing/>
        <w:jc w:val="both"/>
        <w:rPr>
          <w:rFonts w:ascii="Verdana" w:hAnsi="Verdana"/>
          <w:sz w:val="16"/>
          <w:szCs w:val="16"/>
        </w:rPr>
      </w:pPr>
    </w:p>
    <w:p w14:paraId="14AB0EBE" w14:textId="1935BD52" w:rsidR="002F2867" w:rsidRPr="0085052A" w:rsidRDefault="002529CC" w:rsidP="002F2867">
      <w:pPr>
        <w:shd w:val="clear" w:color="auto" w:fill="FFFFFF"/>
        <w:spacing w:after="150" w:line="240" w:lineRule="auto"/>
        <w:contextualSpacing/>
        <w:jc w:val="both"/>
        <w:rPr>
          <w:rFonts w:ascii="Verdana" w:hAnsi="Verdana"/>
          <w:sz w:val="21"/>
          <w:szCs w:val="21"/>
          <w:lang w:eastAsia="it-IT"/>
        </w:rPr>
      </w:pPr>
      <w:r w:rsidRPr="0009315F">
        <w:rPr>
          <w:rFonts w:ascii="Verdana" w:hAnsi="Verdana"/>
          <w:sz w:val="21"/>
          <w:szCs w:val="21"/>
          <w:lang w:eastAsia="it-IT"/>
        </w:rPr>
        <w:t>Parte Generale</w:t>
      </w:r>
      <w:r w:rsidR="00787AAA">
        <w:rPr>
          <w:rFonts w:ascii="Verdana" w:hAnsi="Verdana"/>
          <w:sz w:val="21"/>
          <w:szCs w:val="21"/>
          <w:lang w:eastAsia="it-IT"/>
        </w:rPr>
        <w:t>,</w:t>
      </w:r>
      <w:r w:rsidR="002F2867">
        <w:rPr>
          <w:rFonts w:ascii="Verdana" w:hAnsi="Verdana"/>
          <w:sz w:val="21"/>
          <w:szCs w:val="21"/>
          <w:lang w:eastAsia="it-IT"/>
        </w:rPr>
        <w:t xml:space="preserve"> </w:t>
      </w:r>
      <w:r w:rsidR="00D3267B" w:rsidRPr="0085052A">
        <w:rPr>
          <w:rFonts w:ascii="Verdana" w:hAnsi="Verdana"/>
          <w:sz w:val="21"/>
          <w:szCs w:val="21"/>
          <w:lang w:eastAsia="it-IT"/>
        </w:rPr>
        <w:t xml:space="preserve">settima revisione </w:t>
      </w:r>
      <w:r w:rsidR="002F2867" w:rsidRPr="0085052A">
        <w:rPr>
          <w:rFonts w:ascii="Verdana" w:hAnsi="Verdana"/>
          <w:sz w:val="21"/>
          <w:szCs w:val="21"/>
          <w:lang w:eastAsia="it-IT"/>
        </w:rPr>
        <w:t xml:space="preserve">aggiornata nel </w:t>
      </w:r>
      <w:r w:rsidR="00D3267B" w:rsidRPr="0085052A">
        <w:rPr>
          <w:rFonts w:ascii="Verdana" w:hAnsi="Verdana"/>
          <w:sz w:val="21"/>
          <w:szCs w:val="21"/>
          <w:lang w:eastAsia="it-IT"/>
        </w:rPr>
        <w:t>novembre</w:t>
      </w:r>
      <w:r w:rsidR="002F2867" w:rsidRPr="0085052A">
        <w:rPr>
          <w:rFonts w:ascii="Verdana" w:hAnsi="Verdana"/>
          <w:sz w:val="21"/>
          <w:szCs w:val="21"/>
          <w:lang w:eastAsia="it-IT"/>
        </w:rPr>
        <w:t xml:space="preserve"> 2024</w:t>
      </w:r>
    </w:p>
    <w:p w14:paraId="016158FB" w14:textId="77777777" w:rsidR="000318FC" w:rsidRDefault="000318FC" w:rsidP="002F2867">
      <w:pPr>
        <w:shd w:val="clear" w:color="auto" w:fill="FFFFFF"/>
        <w:spacing w:after="150" w:line="240" w:lineRule="auto"/>
        <w:contextualSpacing/>
        <w:jc w:val="both"/>
        <w:rPr>
          <w:rFonts w:ascii="Verdana" w:hAnsi="Verdana"/>
          <w:sz w:val="21"/>
          <w:szCs w:val="21"/>
        </w:rPr>
      </w:pPr>
    </w:p>
    <w:p w14:paraId="0E9F5361" w14:textId="77777777" w:rsidR="002529CC" w:rsidRDefault="002F2867" w:rsidP="00327D29">
      <w:pPr>
        <w:numPr>
          <w:ilvl w:val="0"/>
          <w:numId w:val="3"/>
        </w:numPr>
        <w:shd w:val="clear" w:color="auto" w:fill="FFFFFF"/>
        <w:spacing w:after="150" w:line="240" w:lineRule="auto"/>
        <w:ind w:left="426"/>
        <w:contextualSpacing/>
        <w:jc w:val="both"/>
        <w:rPr>
          <w:rFonts w:ascii="Verdana" w:hAnsi="Verdana"/>
          <w:sz w:val="21"/>
          <w:szCs w:val="21"/>
        </w:rPr>
      </w:pPr>
      <w:r>
        <w:rPr>
          <w:rFonts w:ascii="Verdana" w:hAnsi="Verdana"/>
          <w:sz w:val="21"/>
          <w:szCs w:val="21"/>
          <w:lang w:eastAsia="it-IT"/>
        </w:rPr>
        <w:t>A</w:t>
      </w:r>
      <w:r w:rsidR="002529CC" w:rsidRPr="0009315F">
        <w:rPr>
          <w:rFonts w:ascii="Verdana" w:hAnsi="Verdana"/>
          <w:sz w:val="21"/>
          <w:szCs w:val="21"/>
          <w:lang w:eastAsia="it-IT"/>
        </w:rPr>
        <w:t xml:space="preserve">llegati: </w:t>
      </w:r>
    </w:p>
    <w:p w14:paraId="114E5A94" w14:textId="77777777" w:rsidR="003D19F9" w:rsidRPr="003D19F9" w:rsidRDefault="003D19F9" w:rsidP="003D19F9">
      <w:pPr>
        <w:shd w:val="clear" w:color="auto" w:fill="FFFFFF"/>
        <w:spacing w:after="150" w:line="240" w:lineRule="auto"/>
        <w:ind w:left="66"/>
        <w:contextualSpacing/>
        <w:jc w:val="both"/>
        <w:rPr>
          <w:rFonts w:ascii="Verdana" w:hAnsi="Verdana"/>
          <w:sz w:val="10"/>
          <w:szCs w:val="16"/>
        </w:rPr>
      </w:pPr>
    </w:p>
    <w:p w14:paraId="05F5906F" w14:textId="7DFD1E9E" w:rsidR="002529CC" w:rsidRPr="0085052A" w:rsidRDefault="002529CC" w:rsidP="00327D29">
      <w:pPr>
        <w:numPr>
          <w:ilvl w:val="1"/>
          <w:numId w:val="9"/>
        </w:numPr>
        <w:shd w:val="clear" w:color="auto" w:fill="FFFFFF"/>
        <w:tabs>
          <w:tab w:val="left" w:pos="851"/>
        </w:tabs>
        <w:spacing w:after="150" w:line="240" w:lineRule="auto"/>
        <w:ind w:left="851"/>
        <w:contextualSpacing/>
        <w:jc w:val="both"/>
        <w:rPr>
          <w:rFonts w:ascii="Verdana" w:hAnsi="Verdana"/>
          <w:sz w:val="21"/>
          <w:szCs w:val="21"/>
        </w:rPr>
      </w:pPr>
      <w:r w:rsidRPr="0085052A">
        <w:rPr>
          <w:rFonts w:ascii="Verdana" w:hAnsi="Verdana"/>
          <w:sz w:val="21"/>
          <w:szCs w:val="21"/>
          <w:lang w:eastAsia="it-IT"/>
        </w:rPr>
        <w:t xml:space="preserve">Procedura di segnalazione all’Organismo di </w:t>
      </w:r>
      <w:r w:rsidR="002A598F" w:rsidRPr="0085052A">
        <w:rPr>
          <w:rFonts w:ascii="Verdana" w:hAnsi="Verdana"/>
          <w:sz w:val="21"/>
          <w:szCs w:val="21"/>
          <w:lang w:eastAsia="it-IT"/>
        </w:rPr>
        <w:t>V</w:t>
      </w:r>
      <w:r w:rsidRPr="0085052A">
        <w:rPr>
          <w:rFonts w:ascii="Verdana" w:hAnsi="Verdana"/>
          <w:sz w:val="21"/>
          <w:szCs w:val="21"/>
          <w:lang w:eastAsia="it-IT"/>
        </w:rPr>
        <w:t>igilanza e regolamento Whistleblowing ai sensi del D.</w:t>
      </w:r>
      <w:r w:rsidR="004B6095" w:rsidRPr="0085052A">
        <w:rPr>
          <w:rFonts w:ascii="Verdana" w:hAnsi="Verdana"/>
          <w:sz w:val="21"/>
          <w:szCs w:val="21"/>
          <w:lang w:eastAsia="it-IT"/>
        </w:rPr>
        <w:t xml:space="preserve"> </w:t>
      </w:r>
      <w:r w:rsidRPr="0085052A">
        <w:rPr>
          <w:rFonts w:ascii="Verdana" w:hAnsi="Verdana"/>
          <w:sz w:val="21"/>
          <w:szCs w:val="21"/>
          <w:lang w:eastAsia="it-IT"/>
        </w:rPr>
        <w:t>Lgs. 231/2001 e della Legge 190/2012</w:t>
      </w:r>
      <w:r w:rsidR="00D3267B" w:rsidRPr="0085052A">
        <w:rPr>
          <w:rFonts w:ascii="Verdana" w:hAnsi="Verdana"/>
          <w:sz w:val="21"/>
          <w:szCs w:val="21"/>
          <w:lang w:eastAsia="it-IT"/>
        </w:rPr>
        <w:t>, aggiornato nel 2023</w:t>
      </w:r>
    </w:p>
    <w:p w14:paraId="38B2B80C" w14:textId="1B76366A" w:rsidR="00EF0979" w:rsidRPr="0085052A" w:rsidRDefault="002529CC" w:rsidP="00327D29">
      <w:pPr>
        <w:numPr>
          <w:ilvl w:val="1"/>
          <w:numId w:val="9"/>
        </w:numPr>
        <w:shd w:val="clear" w:color="auto" w:fill="FFFFFF"/>
        <w:tabs>
          <w:tab w:val="left" w:pos="851"/>
        </w:tabs>
        <w:spacing w:after="150" w:line="240" w:lineRule="auto"/>
        <w:ind w:left="851"/>
        <w:contextualSpacing/>
        <w:jc w:val="both"/>
        <w:rPr>
          <w:rFonts w:ascii="Verdana" w:hAnsi="Verdana"/>
          <w:sz w:val="21"/>
          <w:szCs w:val="21"/>
        </w:rPr>
      </w:pPr>
      <w:r w:rsidRPr="0085052A">
        <w:rPr>
          <w:rFonts w:ascii="Verdana" w:hAnsi="Verdana"/>
          <w:sz w:val="21"/>
          <w:szCs w:val="21"/>
          <w:lang w:eastAsia="it-IT"/>
        </w:rPr>
        <w:t>Catalogo dei reati presupposto</w:t>
      </w:r>
      <w:r w:rsidR="00571D8A" w:rsidRPr="0085052A">
        <w:rPr>
          <w:rFonts w:ascii="Verdana" w:hAnsi="Verdana"/>
          <w:sz w:val="21"/>
          <w:szCs w:val="21"/>
          <w:lang w:eastAsia="it-IT"/>
        </w:rPr>
        <w:t>,</w:t>
      </w:r>
      <w:r w:rsidR="00417E98" w:rsidRPr="0085052A">
        <w:rPr>
          <w:rFonts w:ascii="Verdana" w:hAnsi="Verdana"/>
          <w:sz w:val="21"/>
          <w:szCs w:val="21"/>
          <w:lang w:eastAsia="it-IT"/>
        </w:rPr>
        <w:t xml:space="preserve"> </w:t>
      </w:r>
      <w:r w:rsidR="003831D3" w:rsidRPr="0085052A">
        <w:rPr>
          <w:rFonts w:ascii="Verdana" w:hAnsi="Verdana"/>
          <w:sz w:val="21"/>
          <w:szCs w:val="21"/>
          <w:lang w:eastAsia="it-IT"/>
        </w:rPr>
        <w:t>aggiornato a dicembre 2025</w:t>
      </w:r>
    </w:p>
    <w:p w14:paraId="3B4B6BA7" w14:textId="21123050" w:rsidR="002529CC" w:rsidRPr="0085052A" w:rsidRDefault="002529CC" w:rsidP="00327D29">
      <w:pPr>
        <w:numPr>
          <w:ilvl w:val="1"/>
          <w:numId w:val="9"/>
        </w:numPr>
        <w:shd w:val="clear" w:color="auto" w:fill="FFFFFF"/>
        <w:tabs>
          <w:tab w:val="left" w:pos="851"/>
        </w:tabs>
        <w:spacing w:after="150" w:line="240" w:lineRule="auto"/>
        <w:ind w:left="851"/>
        <w:contextualSpacing/>
        <w:jc w:val="both"/>
        <w:rPr>
          <w:rFonts w:ascii="Verdana" w:hAnsi="Verdana"/>
          <w:sz w:val="21"/>
          <w:szCs w:val="21"/>
        </w:rPr>
      </w:pPr>
      <w:r w:rsidRPr="0085052A">
        <w:rPr>
          <w:rFonts w:ascii="Verdana" w:hAnsi="Verdana"/>
          <w:sz w:val="21"/>
          <w:szCs w:val="21"/>
          <w:lang w:eastAsia="it-IT"/>
        </w:rPr>
        <w:t xml:space="preserve">Regolamento dell’Organismo di </w:t>
      </w:r>
      <w:r w:rsidR="002A598F" w:rsidRPr="0085052A">
        <w:rPr>
          <w:rFonts w:ascii="Verdana" w:hAnsi="Verdana"/>
          <w:sz w:val="21"/>
          <w:szCs w:val="21"/>
          <w:lang w:eastAsia="it-IT"/>
        </w:rPr>
        <w:t>V</w:t>
      </w:r>
      <w:r w:rsidRPr="0085052A">
        <w:rPr>
          <w:rFonts w:ascii="Verdana" w:hAnsi="Verdana"/>
          <w:sz w:val="21"/>
          <w:szCs w:val="21"/>
          <w:lang w:eastAsia="it-IT"/>
        </w:rPr>
        <w:t>igilanza</w:t>
      </w:r>
      <w:r w:rsidR="00571D8A" w:rsidRPr="0085052A">
        <w:rPr>
          <w:rFonts w:ascii="Verdana" w:hAnsi="Verdana"/>
          <w:sz w:val="21"/>
          <w:szCs w:val="21"/>
          <w:lang w:eastAsia="it-IT"/>
        </w:rPr>
        <w:t>,</w:t>
      </w:r>
      <w:r w:rsidRPr="0085052A">
        <w:rPr>
          <w:rFonts w:ascii="Verdana" w:hAnsi="Verdana"/>
          <w:sz w:val="21"/>
          <w:szCs w:val="21"/>
          <w:lang w:eastAsia="it-IT"/>
        </w:rPr>
        <w:t xml:space="preserve"> </w:t>
      </w:r>
      <w:r w:rsidR="008420FF" w:rsidRPr="0085052A">
        <w:rPr>
          <w:rFonts w:ascii="Verdana" w:hAnsi="Verdana"/>
          <w:sz w:val="21"/>
          <w:szCs w:val="21"/>
          <w:lang w:eastAsia="it-IT"/>
        </w:rPr>
        <w:t>aggiornato nel 2022</w:t>
      </w:r>
    </w:p>
    <w:p w14:paraId="2A3E7A0B" w14:textId="77777777" w:rsidR="00867B5F" w:rsidRDefault="00867B5F" w:rsidP="00B42C38">
      <w:pPr>
        <w:shd w:val="clear" w:color="auto" w:fill="FFFFFF"/>
        <w:spacing w:after="150" w:line="240" w:lineRule="auto"/>
        <w:contextualSpacing/>
        <w:jc w:val="both"/>
        <w:rPr>
          <w:rFonts w:ascii="Verdana" w:hAnsi="Verdana"/>
          <w:sz w:val="21"/>
          <w:szCs w:val="21"/>
        </w:rPr>
      </w:pPr>
    </w:p>
    <w:p w14:paraId="39DCCB78" w14:textId="4BD1EA5A" w:rsidR="002529CC" w:rsidRDefault="002529CC" w:rsidP="00327D29">
      <w:pPr>
        <w:numPr>
          <w:ilvl w:val="0"/>
          <w:numId w:val="3"/>
        </w:numPr>
        <w:shd w:val="clear" w:color="auto" w:fill="FFFFFF"/>
        <w:spacing w:after="150" w:line="240" w:lineRule="auto"/>
        <w:ind w:left="426"/>
        <w:contextualSpacing/>
        <w:jc w:val="both"/>
        <w:rPr>
          <w:rFonts w:ascii="Verdana" w:hAnsi="Verdana"/>
          <w:sz w:val="21"/>
          <w:szCs w:val="21"/>
        </w:rPr>
      </w:pPr>
      <w:r w:rsidRPr="0009315F">
        <w:rPr>
          <w:rFonts w:ascii="Verdana" w:hAnsi="Verdana"/>
          <w:sz w:val="21"/>
          <w:szCs w:val="21"/>
          <w:lang w:eastAsia="it-IT"/>
        </w:rPr>
        <w:t xml:space="preserve">Parti Speciali: </w:t>
      </w:r>
    </w:p>
    <w:p w14:paraId="66767B68" w14:textId="77777777" w:rsidR="003D19F9" w:rsidRPr="003D19F9" w:rsidRDefault="003D19F9" w:rsidP="003D19F9">
      <w:pPr>
        <w:shd w:val="clear" w:color="auto" w:fill="FFFFFF"/>
        <w:spacing w:after="150" w:line="240" w:lineRule="auto"/>
        <w:ind w:left="66"/>
        <w:contextualSpacing/>
        <w:jc w:val="both"/>
        <w:rPr>
          <w:rFonts w:ascii="Verdana" w:hAnsi="Verdana"/>
          <w:sz w:val="10"/>
          <w:szCs w:val="16"/>
        </w:rPr>
      </w:pPr>
    </w:p>
    <w:p w14:paraId="6A692330" w14:textId="77777777" w:rsidR="004D2FA3" w:rsidRPr="003E5C33" w:rsidRDefault="004D2FA3" w:rsidP="00327D29">
      <w:pPr>
        <w:numPr>
          <w:ilvl w:val="1"/>
          <w:numId w:val="10"/>
        </w:numPr>
        <w:shd w:val="clear" w:color="auto" w:fill="FFFFFF"/>
        <w:tabs>
          <w:tab w:val="left" w:pos="851"/>
        </w:tabs>
        <w:spacing w:after="150" w:line="240" w:lineRule="auto"/>
        <w:ind w:left="851"/>
        <w:contextualSpacing/>
        <w:jc w:val="both"/>
        <w:rPr>
          <w:rFonts w:ascii="Verdana" w:hAnsi="Verdana"/>
          <w:strike/>
          <w:sz w:val="21"/>
          <w:szCs w:val="21"/>
        </w:rPr>
      </w:pPr>
      <w:r>
        <w:rPr>
          <w:rFonts w:ascii="Verdana" w:hAnsi="Verdana"/>
          <w:sz w:val="21"/>
          <w:szCs w:val="21"/>
        </w:rPr>
        <w:t>Reati tributari</w:t>
      </w:r>
    </w:p>
    <w:p w14:paraId="5E77E38B"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contro la PA e ai danni dello Stato </w:t>
      </w:r>
    </w:p>
    <w:p w14:paraId="3861360B"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di ricettazione-riciclaggio </w:t>
      </w:r>
    </w:p>
    <w:p w14:paraId="04632914"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Societari </w:t>
      </w:r>
    </w:p>
    <w:p w14:paraId="6B2B9903"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contro la personalità individuale </w:t>
      </w:r>
    </w:p>
    <w:p w14:paraId="029A0380"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Reato di false dichiarazioni</w:t>
      </w:r>
    </w:p>
    <w:p w14:paraId="6984FF44"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Reati in tema di falsità in monete, in carte di pubblico credit</w:t>
      </w:r>
      <w:r w:rsidR="000E7440">
        <w:rPr>
          <w:rFonts w:ascii="Verdana" w:hAnsi="Verdana"/>
          <w:sz w:val="21"/>
          <w:szCs w:val="21"/>
          <w:lang w:eastAsia="it-IT"/>
        </w:rPr>
        <w:t>o</w:t>
      </w:r>
      <w:r w:rsidRPr="0009315F">
        <w:rPr>
          <w:rFonts w:ascii="Verdana" w:hAnsi="Verdana"/>
          <w:sz w:val="21"/>
          <w:szCs w:val="21"/>
          <w:lang w:eastAsia="it-IT"/>
        </w:rPr>
        <w:t xml:space="preserve"> </w:t>
      </w:r>
    </w:p>
    <w:p w14:paraId="2E41D5A2"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materia di criminalità organizzata </w:t>
      </w:r>
    </w:p>
    <w:p w14:paraId="2EAD70FC"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materia di criminalità informatica </w:t>
      </w:r>
    </w:p>
    <w:p w14:paraId="4ED431D0"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contro l'industria e il commercio </w:t>
      </w:r>
    </w:p>
    <w:p w14:paraId="3D87D03B"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materia di violazione del diritto di autore </w:t>
      </w:r>
    </w:p>
    <w:p w14:paraId="1E4C2ED8"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tema di sicurezza sul luogo di lavoro </w:t>
      </w:r>
    </w:p>
    <w:p w14:paraId="6BADCBEA"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Reati ambientali</w:t>
      </w:r>
    </w:p>
    <w:p w14:paraId="0574B9BC" w14:textId="77777777" w:rsidR="002529CC"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Reato di impiego di cittadini di paesi terzi </w:t>
      </w:r>
    </w:p>
    <w:p w14:paraId="6A062029" w14:textId="77777777" w:rsidR="002A598F" w:rsidRPr="0009315F" w:rsidRDefault="002A598F" w:rsidP="002A598F">
      <w:pPr>
        <w:shd w:val="clear" w:color="auto" w:fill="FFFFFF"/>
        <w:spacing w:after="150" w:line="240" w:lineRule="auto"/>
        <w:ind w:left="1440"/>
        <w:contextualSpacing/>
        <w:jc w:val="both"/>
        <w:rPr>
          <w:rFonts w:ascii="Verdana" w:hAnsi="Verdana"/>
          <w:sz w:val="21"/>
          <w:szCs w:val="21"/>
        </w:rPr>
      </w:pPr>
    </w:p>
    <w:p w14:paraId="080CADF3" w14:textId="70F3D6BF" w:rsidR="008420FF" w:rsidRPr="00F954CB" w:rsidRDefault="003831D3" w:rsidP="002529CC">
      <w:pPr>
        <w:shd w:val="clear" w:color="auto" w:fill="FFFFFF"/>
        <w:spacing w:after="150" w:line="240" w:lineRule="auto"/>
        <w:contextualSpacing/>
        <w:jc w:val="both"/>
        <w:rPr>
          <w:rFonts w:ascii="Verdana" w:hAnsi="Verdana"/>
          <w:sz w:val="21"/>
          <w:szCs w:val="21"/>
          <w:lang w:eastAsia="it-IT"/>
        </w:rPr>
      </w:pPr>
      <w:r w:rsidRPr="00F954CB">
        <w:rPr>
          <w:rFonts w:ascii="Verdana" w:hAnsi="Verdana"/>
          <w:sz w:val="21"/>
          <w:szCs w:val="21"/>
          <w:lang w:eastAsia="it-IT"/>
        </w:rPr>
        <w:t>A febbraio 2025 è stato</w:t>
      </w:r>
      <w:r w:rsidR="001D7E23" w:rsidRPr="00F954CB">
        <w:rPr>
          <w:rFonts w:ascii="Verdana" w:hAnsi="Verdana"/>
          <w:sz w:val="21"/>
          <w:szCs w:val="21"/>
          <w:lang w:eastAsia="it-IT"/>
        </w:rPr>
        <w:t xml:space="preserve"> codifica</w:t>
      </w:r>
      <w:r w:rsidRPr="00F954CB">
        <w:rPr>
          <w:rFonts w:ascii="Verdana" w:hAnsi="Verdana"/>
          <w:sz w:val="21"/>
          <w:szCs w:val="21"/>
          <w:lang w:eastAsia="it-IT"/>
        </w:rPr>
        <w:t>to</w:t>
      </w:r>
      <w:r w:rsidR="001D7E23" w:rsidRPr="00F954CB">
        <w:rPr>
          <w:rFonts w:ascii="Verdana" w:hAnsi="Verdana"/>
          <w:sz w:val="21"/>
          <w:szCs w:val="21"/>
          <w:lang w:eastAsia="it-IT"/>
        </w:rPr>
        <w:t xml:space="preserve"> un</w:t>
      </w:r>
      <w:r w:rsidR="002B0C3A" w:rsidRPr="00F954CB">
        <w:rPr>
          <w:rFonts w:ascii="Verdana" w:hAnsi="Verdana"/>
          <w:sz w:val="21"/>
          <w:szCs w:val="21"/>
          <w:lang w:eastAsia="it-IT"/>
        </w:rPr>
        <w:t xml:space="preserve"> aggiornamento</w:t>
      </w:r>
      <w:r w:rsidR="001D7E23" w:rsidRPr="00F954CB">
        <w:rPr>
          <w:rFonts w:ascii="Verdana" w:hAnsi="Verdana"/>
          <w:sz w:val="21"/>
          <w:szCs w:val="21"/>
          <w:lang w:eastAsia="it-IT"/>
        </w:rPr>
        <w:t xml:space="preserve"> </w:t>
      </w:r>
      <w:r w:rsidR="002B0C3A" w:rsidRPr="00F954CB">
        <w:rPr>
          <w:rFonts w:ascii="Verdana" w:hAnsi="Verdana"/>
          <w:sz w:val="21"/>
          <w:szCs w:val="21"/>
          <w:lang w:eastAsia="it-IT"/>
        </w:rPr>
        <w:t>introdu</w:t>
      </w:r>
      <w:r w:rsidRPr="00F954CB">
        <w:rPr>
          <w:rFonts w:ascii="Verdana" w:hAnsi="Verdana"/>
          <w:sz w:val="21"/>
          <w:szCs w:val="21"/>
          <w:lang w:eastAsia="it-IT"/>
        </w:rPr>
        <w:t>cendo,</w:t>
      </w:r>
      <w:r w:rsidR="001D7E23" w:rsidRPr="00F954CB">
        <w:rPr>
          <w:rFonts w:ascii="Verdana" w:hAnsi="Verdana"/>
          <w:sz w:val="21"/>
          <w:szCs w:val="21"/>
          <w:lang w:eastAsia="it-IT"/>
        </w:rPr>
        <w:t xml:space="preserve"> in tutte le parti speciali </w:t>
      </w:r>
      <w:r w:rsidR="008A601F" w:rsidRPr="00F954CB">
        <w:rPr>
          <w:rFonts w:ascii="Verdana" w:hAnsi="Verdana"/>
          <w:sz w:val="21"/>
          <w:szCs w:val="21"/>
          <w:lang w:eastAsia="it-IT"/>
        </w:rPr>
        <w:t xml:space="preserve">del MOG </w:t>
      </w:r>
      <w:r w:rsidR="002B0C3A" w:rsidRPr="00F954CB">
        <w:rPr>
          <w:rFonts w:ascii="Verdana" w:hAnsi="Verdana"/>
          <w:sz w:val="21"/>
          <w:szCs w:val="21"/>
          <w:lang w:eastAsia="it-IT"/>
        </w:rPr>
        <w:t>che fanno riferimento al processo di liquidazione delle fatture</w:t>
      </w:r>
      <w:r w:rsidRPr="00F954CB">
        <w:rPr>
          <w:rFonts w:ascii="Verdana" w:hAnsi="Verdana"/>
          <w:sz w:val="21"/>
          <w:szCs w:val="21"/>
          <w:lang w:eastAsia="it-IT"/>
        </w:rPr>
        <w:t>,</w:t>
      </w:r>
      <w:r w:rsidR="002B0C3A" w:rsidRPr="00F954CB">
        <w:rPr>
          <w:rFonts w:ascii="Verdana" w:hAnsi="Verdana"/>
          <w:sz w:val="21"/>
          <w:szCs w:val="21"/>
          <w:lang w:eastAsia="it-IT"/>
        </w:rPr>
        <w:t xml:space="preserve"> </w:t>
      </w:r>
      <w:r w:rsidR="008A601F" w:rsidRPr="00F954CB">
        <w:rPr>
          <w:rFonts w:ascii="Verdana" w:hAnsi="Verdana"/>
          <w:sz w:val="21"/>
          <w:szCs w:val="21"/>
          <w:lang w:eastAsia="it-IT"/>
        </w:rPr>
        <w:t>l’avvio della informatizzazione di detto processo</w:t>
      </w:r>
      <w:r w:rsidR="00A30127" w:rsidRPr="00F954CB">
        <w:rPr>
          <w:rFonts w:ascii="Verdana" w:hAnsi="Verdana"/>
          <w:sz w:val="21"/>
          <w:szCs w:val="21"/>
          <w:lang w:eastAsia="it-IT"/>
        </w:rPr>
        <w:t xml:space="preserve"> come</w:t>
      </w:r>
      <w:r w:rsidR="00983847" w:rsidRPr="00F954CB">
        <w:rPr>
          <w:rFonts w:ascii="Verdana" w:hAnsi="Verdana"/>
          <w:sz w:val="21"/>
          <w:szCs w:val="21"/>
          <w:lang w:eastAsia="it-IT"/>
        </w:rPr>
        <w:t xml:space="preserve"> </w:t>
      </w:r>
      <w:r w:rsidR="008A601F" w:rsidRPr="00F954CB">
        <w:rPr>
          <w:rFonts w:ascii="Verdana" w:hAnsi="Verdana"/>
          <w:sz w:val="21"/>
          <w:szCs w:val="21"/>
          <w:lang w:eastAsia="it-IT"/>
        </w:rPr>
        <w:t>previst</w:t>
      </w:r>
      <w:r w:rsidR="00A30127" w:rsidRPr="00F954CB">
        <w:rPr>
          <w:rFonts w:ascii="Verdana" w:hAnsi="Verdana"/>
          <w:sz w:val="21"/>
          <w:szCs w:val="21"/>
          <w:lang w:eastAsia="it-IT"/>
        </w:rPr>
        <w:t>a</w:t>
      </w:r>
      <w:r w:rsidR="00F00D48" w:rsidRPr="00F954CB">
        <w:rPr>
          <w:rFonts w:ascii="Verdana" w:hAnsi="Verdana"/>
          <w:sz w:val="21"/>
          <w:szCs w:val="21"/>
          <w:lang w:eastAsia="it-IT"/>
        </w:rPr>
        <w:t xml:space="preserve"> fra le misure s</w:t>
      </w:r>
      <w:r w:rsidR="00983847" w:rsidRPr="00F954CB">
        <w:rPr>
          <w:rFonts w:ascii="Verdana" w:hAnsi="Verdana"/>
          <w:sz w:val="21"/>
          <w:szCs w:val="21"/>
          <w:lang w:eastAsia="it-IT"/>
        </w:rPr>
        <w:t>pecifiche</w:t>
      </w:r>
      <w:r w:rsidR="008A601F" w:rsidRPr="00F954CB">
        <w:rPr>
          <w:rFonts w:ascii="Verdana" w:hAnsi="Verdana"/>
          <w:sz w:val="21"/>
          <w:szCs w:val="21"/>
          <w:lang w:eastAsia="it-IT"/>
        </w:rPr>
        <w:t xml:space="preserve"> </w:t>
      </w:r>
      <w:r w:rsidR="00897209" w:rsidRPr="00F954CB">
        <w:rPr>
          <w:rFonts w:ascii="Verdana" w:hAnsi="Verdana"/>
          <w:sz w:val="21"/>
          <w:szCs w:val="21"/>
          <w:lang w:eastAsia="it-IT"/>
        </w:rPr>
        <w:t xml:space="preserve">già </w:t>
      </w:r>
      <w:r w:rsidR="008A601F" w:rsidRPr="00F954CB">
        <w:rPr>
          <w:rFonts w:ascii="Verdana" w:hAnsi="Verdana"/>
          <w:sz w:val="21"/>
          <w:szCs w:val="21"/>
          <w:lang w:eastAsia="it-IT"/>
        </w:rPr>
        <w:t>nel PTPCT 2024-2026</w:t>
      </w:r>
      <w:r w:rsidRPr="00F954CB">
        <w:rPr>
          <w:rFonts w:ascii="Verdana" w:hAnsi="Verdana"/>
          <w:sz w:val="21"/>
          <w:szCs w:val="21"/>
          <w:lang w:eastAsia="it-IT"/>
        </w:rPr>
        <w:t>;</w:t>
      </w:r>
      <w:r w:rsidR="002622AC" w:rsidRPr="00F954CB">
        <w:rPr>
          <w:rFonts w:ascii="Verdana" w:hAnsi="Verdana"/>
          <w:sz w:val="21"/>
          <w:szCs w:val="21"/>
          <w:lang w:eastAsia="it-IT"/>
        </w:rPr>
        <w:t xml:space="preserve"> </w:t>
      </w:r>
      <w:r w:rsidRPr="00F954CB">
        <w:rPr>
          <w:rFonts w:ascii="Verdana" w:hAnsi="Verdana"/>
          <w:sz w:val="21"/>
          <w:szCs w:val="21"/>
          <w:lang w:eastAsia="it-IT"/>
        </w:rPr>
        <w:t xml:space="preserve">è stato codificato </w:t>
      </w:r>
      <w:r w:rsidR="002622AC" w:rsidRPr="00F954CB">
        <w:rPr>
          <w:rFonts w:ascii="Verdana" w:hAnsi="Verdana"/>
          <w:sz w:val="21"/>
          <w:szCs w:val="21"/>
          <w:lang w:eastAsia="it-IT"/>
        </w:rPr>
        <w:t>un aggiornamento del Catalogo dei reati presupposto per recepire le novità normative del 2024.</w:t>
      </w:r>
      <w:r w:rsidRPr="00F954CB">
        <w:rPr>
          <w:rFonts w:ascii="Verdana" w:hAnsi="Verdana"/>
          <w:sz w:val="21"/>
          <w:szCs w:val="21"/>
          <w:lang w:eastAsia="it-IT"/>
        </w:rPr>
        <w:t xml:space="preserve"> </w:t>
      </w:r>
    </w:p>
    <w:p w14:paraId="6979E9B7" w14:textId="77777777" w:rsidR="002B0C3A" w:rsidRPr="00F954CB" w:rsidRDefault="003831D3" w:rsidP="002529CC">
      <w:pPr>
        <w:shd w:val="clear" w:color="auto" w:fill="FFFFFF"/>
        <w:spacing w:after="150" w:line="240" w:lineRule="auto"/>
        <w:contextualSpacing/>
        <w:jc w:val="both"/>
        <w:rPr>
          <w:rFonts w:ascii="Verdana" w:hAnsi="Verdana"/>
          <w:sz w:val="21"/>
          <w:szCs w:val="21"/>
          <w:lang w:eastAsia="it-IT"/>
        </w:rPr>
      </w:pPr>
      <w:r w:rsidRPr="00F954CB">
        <w:rPr>
          <w:rFonts w:ascii="Verdana" w:hAnsi="Verdana"/>
          <w:sz w:val="21"/>
          <w:szCs w:val="21"/>
          <w:lang w:eastAsia="it-IT"/>
        </w:rPr>
        <w:t>Un ulteriore aggiornamento del Catalogo dei reati presupposto è stato approvato a dicembre 2025, per recepire le novità normative del 2025.</w:t>
      </w:r>
    </w:p>
    <w:p w14:paraId="0507F24B" w14:textId="77777777" w:rsidR="002B0C3A" w:rsidRDefault="002B0C3A" w:rsidP="002529CC">
      <w:pPr>
        <w:shd w:val="clear" w:color="auto" w:fill="FFFFFF"/>
        <w:spacing w:after="150" w:line="240" w:lineRule="auto"/>
        <w:contextualSpacing/>
        <w:jc w:val="both"/>
        <w:rPr>
          <w:rFonts w:ascii="Verdana" w:hAnsi="Verdana"/>
          <w:sz w:val="21"/>
          <w:szCs w:val="21"/>
          <w:highlight w:val="yellow"/>
          <w:lang w:eastAsia="it-IT"/>
        </w:rPr>
      </w:pPr>
    </w:p>
    <w:p w14:paraId="1CE6CE70" w14:textId="5C76C98A" w:rsidR="002529CC" w:rsidRPr="00930DCA" w:rsidRDefault="00F745AC" w:rsidP="002529CC">
      <w:pPr>
        <w:shd w:val="clear" w:color="auto" w:fill="FFFFFF"/>
        <w:spacing w:after="150" w:line="240" w:lineRule="auto"/>
        <w:contextualSpacing/>
        <w:jc w:val="both"/>
        <w:rPr>
          <w:rFonts w:ascii="Verdana" w:hAnsi="Verdana"/>
          <w:sz w:val="21"/>
          <w:szCs w:val="21"/>
          <w:lang w:eastAsia="it-IT"/>
        </w:rPr>
      </w:pPr>
      <w:r w:rsidRPr="003E645C">
        <w:rPr>
          <w:rFonts w:ascii="Verdana" w:hAnsi="Verdana"/>
          <w:sz w:val="21"/>
          <w:szCs w:val="21"/>
          <w:lang w:eastAsia="it-IT"/>
        </w:rPr>
        <w:t>L</w:t>
      </w:r>
      <w:r w:rsidR="002529CC" w:rsidRPr="003E645C">
        <w:rPr>
          <w:rFonts w:ascii="Verdana" w:hAnsi="Verdana"/>
          <w:sz w:val="21"/>
          <w:szCs w:val="21"/>
          <w:lang w:eastAsia="it-IT"/>
        </w:rPr>
        <w:t>a revisione del suddetto Modello di Organizzazione, Gestione e Controllo</w:t>
      </w:r>
      <w:r w:rsidR="003E5C33" w:rsidRPr="003E645C">
        <w:rPr>
          <w:rFonts w:ascii="Verdana" w:hAnsi="Verdana"/>
          <w:sz w:val="21"/>
          <w:szCs w:val="21"/>
          <w:lang w:eastAsia="it-IT"/>
        </w:rPr>
        <w:t xml:space="preserve"> </w:t>
      </w:r>
      <w:r w:rsidR="00076E4B" w:rsidRPr="003E645C">
        <w:rPr>
          <w:rFonts w:ascii="Verdana" w:hAnsi="Verdana"/>
          <w:sz w:val="21"/>
          <w:szCs w:val="21"/>
          <w:lang w:eastAsia="it-IT"/>
        </w:rPr>
        <w:t xml:space="preserve">viene </w:t>
      </w:r>
      <w:r w:rsidR="002529CC" w:rsidRPr="003E645C">
        <w:rPr>
          <w:rFonts w:ascii="Verdana" w:hAnsi="Verdana"/>
          <w:sz w:val="21"/>
          <w:szCs w:val="21"/>
          <w:lang w:eastAsia="it-IT"/>
        </w:rPr>
        <w:t>attuata tenendo conto anche dei contenuti del</w:t>
      </w:r>
      <w:r w:rsidR="003E645C" w:rsidRPr="003E645C">
        <w:rPr>
          <w:rFonts w:ascii="Verdana" w:hAnsi="Verdana"/>
          <w:sz w:val="21"/>
          <w:szCs w:val="21"/>
          <w:lang w:eastAsia="it-IT"/>
        </w:rPr>
        <w:t xml:space="preserve"> </w:t>
      </w:r>
      <w:r w:rsidR="00076E4B" w:rsidRPr="003E645C">
        <w:rPr>
          <w:rFonts w:ascii="Verdana" w:hAnsi="Verdana"/>
          <w:sz w:val="21"/>
          <w:szCs w:val="21"/>
          <w:lang w:eastAsia="it-IT"/>
        </w:rPr>
        <w:t xml:space="preserve">PTPCT </w:t>
      </w:r>
      <w:r w:rsidR="002529CC" w:rsidRPr="003E645C">
        <w:rPr>
          <w:rFonts w:ascii="Verdana" w:hAnsi="Verdana"/>
          <w:sz w:val="21"/>
          <w:szCs w:val="21"/>
          <w:lang w:eastAsia="it-IT"/>
        </w:rPr>
        <w:t>al fine di garantire il necessario coordinamento</w:t>
      </w:r>
      <w:r w:rsidR="002A598F" w:rsidRPr="003E645C">
        <w:rPr>
          <w:rFonts w:ascii="Verdana" w:hAnsi="Verdana"/>
          <w:sz w:val="21"/>
          <w:szCs w:val="21"/>
          <w:lang w:eastAsia="it-IT"/>
        </w:rPr>
        <w:t xml:space="preserve"> dei due sistemi</w:t>
      </w:r>
      <w:r w:rsidR="002529CC" w:rsidRPr="003E645C">
        <w:rPr>
          <w:rFonts w:ascii="Verdana" w:hAnsi="Verdana"/>
          <w:sz w:val="21"/>
          <w:szCs w:val="21"/>
          <w:lang w:eastAsia="it-IT"/>
        </w:rPr>
        <w:t>.</w:t>
      </w:r>
      <w:r w:rsidR="00AC0D3C" w:rsidRPr="003E645C">
        <w:rPr>
          <w:rFonts w:ascii="Verdana" w:hAnsi="Verdana"/>
          <w:sz w:val="21"/>
          <w:szCs w:val="21"/>
          <w:lang w:eastAsia="it-IT"/>
        </w:rPr>
        <w:t xml:space="preserve"> Il presente PTPCT è stato approvato </w:t>
      </w:r>
      <w:r w:rsidR="00AC0D3C" w:rsidRPr="00AC0D3C">
        <w:rPr>
          <w:rFonts w:ascii="Verdana" w:hAnsi="Verdana"/>
          <w:sz w:val="21"/>
          <w:szCs w:val="21"/>
          <w:lang w:eastAsia="it-IT"/>
        </w:rPr>
        <w:t xml:space="preserve">dal Consiglio di Amministrazione nella </w:t>
      </w:r>
      <w:r w:rsidR="00AC0D3C" w:rsidRPr="004A00CC">
        <w:rPr>
          <w:rFonts w:ascii="Verdana" w:hAnsi="Verdana"/>
          <w:sz w:val="21"/>
          <w:szCs w:val="21"/>
          <w:lang w:eastAsia="it-IT"/>
        </w:rPr>
        <w:t xml:space="preserve">seduta </w:t>
      </w:r>
      <w:r w:rsidR="00AC0D3C" w:rsidRPr="00617515">
        <w:rPr>
          <w:rFonts w:ascii="Verdana" w:hAnsi="Verdana"/>
          <w:sz w:val="21"/>
          <w:szCs w:val="21"/>
          <w:lang w:eastAsia="it-IT"/>
        </w:rPr>
        <w:t>del</w:t>
      </w:r>
      <w:r w:rsidR="00053932" w:rsidRPr="00617515">
        <w:rPr>
          <w:rFonts w:ascii="Verdana" w:hAnsi="Verdana"/>
          <w:sz w:val="21"/>
          <w:szCs w:val="21"/>
          <w:lang w:eastAsia="it-IT"/>
        </w:rPr>
        <w:t xml:space="preserve"> </w:t>
      </w:r>
      <w:r w:rsidR="001A5288" w:rsidRPr="00617515">
        <w:rPr>
          <w:rFonts w:ascii="Verdana" w:hAnsi="Verdana"/>
          <w:sz w:val="21"/>
          <w:szCs w:val="21"/>
          <w:lang w:eastAsia="it-IT"/>
        </w:rPr>
        <w:t>27 marzo 2026.</w:t>
      </w:r>
    </w:p>
    <w:p w14:paraId="5D8A5216" w14:textId="77777777" w:rsidR="002529CC" w:rsidRPr="00930DCA" w:rsidRDefault="002529CC" w:rsidP="002529CC">
      <w:pPr>
        <w:shd w:val="clear" w:color="auto" w:fill="FFFFFF"/>
        <w:spacing w:after="150" w:line="240" w:lineRule="auto"/>
        <w:contextualSpacing/>
        <w:jc w:val="both"/>
        <w:rPr>
          <w:rFonts w:ascii="Verdana" w:hAnsi="Verdana"/>
          <w:sz w:val="21"/>
          <w:szCs w:val="21"/>
          <w:lang w:eastAsia="it-IT"/>
        </w:rPr>
      </w:pPr>
    </w:p>
    <w:p w14:paraId="1E7C0710" w14:textId="77777777" w:rsidR="008872F3" w:rsidRPr="00AA245B" w:rsidRDefault="00AA245B" w:rsidP="008872F3">
      <w:pPr>
        <w:autoSpaceDE w:val="0"/>
        <w:spacing w:after="0" w:line="240" w:lineRule="auto"/>
        <w:jc w:val="both"/>
        <w:rPr>
          <w:rFonts w:ascii="Verdana" w:hAnsi="Verdana"/>
          <w:sz w:val="21"/>
          <w:szCs w:val="21"/>
        </w:rPr>
      </w:pPr>
      <w:r w:rsidRPr="000318FC">
        <w:rPr>
          <w:rFonts w:ascii="Verdana" w:hAnsi="Verdana"/>
          <w:sz w:val="21"/>
          <w:szCs w:val="21"/>
          <w:lang w:eastAsia="it-IT"/>
        </w:rPr>
        <w:t xml:space="preserve">Il PTPCT </w:t>
      </w:r>
      <w:r w:rsidR="00B71555" w:rsidRPr="000318FC">
        <w:rPr>
          <w:rFonts w:ascii="Verdana" w:hAnsi="Verdana"/>
          <w:sz w:val="21"/>
          <w:szCs w:val="21"/>
          <w:lang w:eastAsia="it-IT"/>
        </w:rPr>
        <w:t>rappresenta</w:t>
      </w:r>
      <w:r w:rsidRPr="000318FC">
        <w:rPr>
          <w:rFonts w:ascii="Verdana" w:hAnsi="Verdana"/>
          <w:sz w:val="21"/>
          <w:szCs w:val="21"/>
          <w:lang w:eastAsia="it-IT"/>
        </w:rPr>
        <w:t xml:space="preserve"> un documento autonomo rispetto al MOG ex D. Lgs. 231/2001 di cui sopra</w:t>
      </w:r>
      <w:r w:rsidR="008A601F" w:rsidRPr="000318FC">
        <w:rPr>
          <w:rFonts w:ascii="Verdana" w:hAnsi="Verdana"/>
          <w:sz w:val="21"/>
          <w:szCs w:val="21"/>
          <w:lang w:eastAsia="it-IT"/>
        </w:rPr>
        <w:t xml:space="preserve"> e</w:t>
      </w:r>
      <w:r w:rsidRPr="000318FC">
        <w:rPr>
          <w:rFonts w:ascii="Verdana" w:hAnsi="Verdana"/>
          <w:sz w:val="21"/>
          <w:szCs w:val="21"/>
          <w:lang w:eastAsia="it-IT"/>
        </w:rPr>
        <w:t xml:space="preserve"> tale</w:t>
      </w:r>
      <w:r w:rsidRPr="0009315F">
        <w:rPr>
          <w:rFonts w:ascii="Verdana" w:hAnsi="Verdana"/>
          <w:sz w:val="21"/>
          <w:szCs w:val="21"/>
          <w:lang w:eastAsia="it-IT"/>
        </w:rPr>
        <w:t xml:space="preserve"> scelta</w:t>
      </w:r>
      <w:r>
        <w:rPr>
          <w:rFonts w:ascii="Verdana" w:hAnsi="Verdana"/>
          <w:sz w:val="21"/>
          <w:szCs w:val="21"/>
          <w:lang w:eastAsia="it-IT"/>
        </w:rPr>
        <w:t xml:space="preserve"> -</w:t>
      </w:r>
      <w:r w:rsidRPr="0009315F">
        <w:rPr>
          <w:rFonts w:ascii="Verdana" w:hAnsi="Verdana"/>
          <w:sz w:val="21"/>
          <w:szCs w:val="21"/>
          <w:lang w:eastAsia="it-IT"/>
        </w:rPr>
        <w:t xml:space="preserve"> peraltro attuata e sperimentata fin dal 2016</w:t>
      </w:r>
      <w:r>
        <w:rPr>
          <w:rFonts w:ascii="Verdana" w:hAnsi="Verdana"/>
          <w:sz w:val="21"/>
          <w:szCs w:val="21"/>
          <w:lang w:eastAsia="it-IT"/>
        </w:rPr>
        <w:t xml:space="preserve"> -</w:t>
      </w:r>
      <w:r w:rsidRPr="0009315F">
        <w:rPr>
          <w:rFonts w:ascii="Verdana" w:hAnsi="Verdana"/>
          <w:sz w:val="21"/>
          <w:szCs w:val="21"/>
          <w:lang w:eastAsia="it-IT"/>
        </w:rPr>
        <w:t xml:space="preserve"> non desta difficoltà di coordinamento tra le due discipline</w:t>
      </w:r>
      <w:r>
        <w:rPr>
          <w:rFonts w:ascii="Verdana" w:hAnsi="Verdana"/>
          <w:sz w:val="21"/>
          <w:szCs w:val="21"/>
          <w:lang w:eastAsia="it-IT"/>
        </w:rPr>
        <w:t xml:space="preserve">, </w:t>
      </w:r>
      <w:r w:rsidRPr="0009315F">
        <w:rPr>
          <w:rFonts w:ascii="Verdana" w:hAnsi="Verdana"/>
          <w:sz w:val="21"/>
          <w:szCs w:val="21"/>
          <w:lang w:eastAsia="it-IT"/>
        </w:rPr>
        <w:t>che restano finalizzate a prevenire ipotesi di reato parzialmente diverse tra loro e fanno riferimento a forme di gestione e responsabilità differenti, ma soprattutto tiene conto della funzione pubblica tipica dello scopo istituzionale di MRI</w:t>
      </w:r>
      <w:r w:rsidR="008872F3">
        <w:rPr>
          <w:rFonts w:ascii="Verdana" w:hAnsi="Verdana"/>
          <w:sz w:val="21"/>
          <w:szCs w:val="21"/>
          <w:lang w:eastAsia="it-IT"/>
        </w:rPr>
        <w:t>,</w:t>
      </w:r>
      <w:r w:rsidR="008872F3" w:rsidRPr="008872F3">
        <w:rPr>
          <w:rFonts w:ascii="Verdana" w:hAnsi="Verdana"/>
          <w:sz w:val="21"/>
          <w:szCs w:val="21"/>
          <w:lang w:eastAsia="it-IT"/>
        </w:rPr>
        <w:t xml:space="preserve"> </w:t>
      </w:r>
      <w:r w:rsidR="008872F3" w:rsidRPr="00AA245B">
        <w:rPr>
          <w:rFonts w:ascii="Verdana" w:hAnsi="Verdana"/>
          <w:sz w:val="21"/>
          <w:szCs w:val="21"/>
          <w:lang w:eastAsia="it-IT"/>
        </w:rPr>
        <w:t>fornendo complessivamente un sistema integrato di prevenzione dei fenomeni corruttivi.</w:t>
      </w:r>
    </w:p>
    <w:p w14:paraId="1727A7F6" w14:textId="77777777" w:rsidR="00AA245B" w:rsidRDefault="00AA245B" w:rsidP="002529CC">
      <w:pPr>
        <w:shd w:val="clear" w:color="auto" w:fill="FFFFFF"/>
        <w:spacing w:after="150" w:line="240" w:lineRule="auto"/>
        <w:contextualSpacing/>
        <w:jc w:val="both"/>
        <w:rPr>
          <w:rFonts w:ascii="Verdana" w:hAnsi="Verdana"/>
          <w:sz w:val="21"/>
          <w:szCs w:val="21"/>
          <w:lang w:eastAsia="it-IT"/>
        </w:rPr>
      </w:pPr>
    </w:p>
    <w:p w14:paraId="67635637" w14:textId="0F508E3F" w:rsidR="00F00D48" w:rsidRDefault="002529CC" w:rsidP="002529CC">
      <w:pPr>
        <w:shd w:val="clear" w:color="auto" w:fill="FFFFFF"/>
        <w:spacing w:after="150" w:line="240" w:lineRule="auto"/>
        <w:contextualSpacing/>
        <w:jc w:val="both"/>
        <w:rPr>
          <w:rFonts w:ascii="Verdana" w:hAnsi="Verdana"/>
          <w:sz w:val="21"/>
          <w:szCs w:val="21"/>
          <w:lang w:eastAsia="it-IT"/>
        </w:rPr>
      </w:pPr>
      <w:r w:rsidRPr="000318FC">
        <w:rPr>
          <w:rFonts w:ascii="Verdana" w:hAnsi="Verdana"/>
          <w:sz w:val="21"/>
          <w:szCs w:val="21"/>
          <w:lang w:eastAsia="it-IT"/>
        </w:rPr>
        <w:t xml:space="preserve">Il Codice Etico e Comportamentale </w:t>
      </w:r>
      <w:r w:rsidR="008A581F" w:rsidRPr="000318FC">
        <w:rPr>
          <w:rFonts w:ascii="Verdana" w:hAnsi="Verdana"/>
          <w:sz w:val="21"/>
          <w:szCs w:val="21"/>
          <w:lang w:eastAsia="it-IT"/>
        </w:rPr>
        <w:t xml:space="preserve">(DOC60) </w:t>
      </w:r>
      <w:r w:rsidRPr="000318FC">
        <w:rPr>
          <w:rFonts w:ascii="Verdana" w:hAnsi="Verdana"/>
          <w:sz w:val="21"/>
          <w:szCs w:val="21"/>
          <w:lang w:eastAsia="it-IT"/>
        </w:rPr>
        <w:t>completa il sistema di gestione del rischio. Il documento, pubblicato sul sito web aziendale</w:t>
      </w:r>
      <w:r w:rsidR="001356C4">
        <w:rPr>
          <w:rFonts w:ascii="Verdana" w:hAnsi="Verdana"/>
          <w:sz w:val="21"/>
          <w:szCs w:val="21"/>
          <w:lang w:eastAsia="it-IT"/>
        </w:rPr>
        <w:t xml:space="preserve"> </w:t>
      </w:r>
      <w:r w:rsidR="001356C4" w:rsidRPr="003E645C">
        <w:rPr>
          <w:rFonts w:ascii="Verdana" w:hAnsi="Verdana"/>
          <w:sz w:val="21"/>
          <w:szCs w:val="21"/>
          <w:lang w:eastAsia="it-IT"/>
        </w:rPr>
        <w:t>nella sezione dedicata di “Società Trasparente”</w:t>
      </w:r>
      <w:r w:rsidRPr="003E645C">
        <w:rPr>
          <w:rFonts w:ascii="Verdana" w:hAnsi="Verdana"/>
          <w:sz w:val="21"/>
          <w:szCs w:val="21"/>
          <w:lang w:eastAsia="it-IT"/>
        </w:rPr>
        <w:t>, redatto sia ai sensi del D.</w:t>
      </w:r>
      <w:r w:rsidR="004B6095" w:rsidRPr="003E645C">
        <w:rPr>
          <w:rFonts w:ascii="Verdana" w:hAnsi="Verdana"/>
          <w:sz w:val="21"/>
          <w:szCs w:val="21"/>
          <w:lang w:eastAsia="it-IT"/>
        </w:rPr>
        <w:t xml:space="preserve"> </w:t>
      </w:r>
      <w:r w:rsidRPr="003E645C">
        <w:rPr>
          <w:rFonts w:ascii="Verdana" w:hAnsi="Verdana"/>
          <w:sz w:val="21"/>
          <w:szCs w:val="21"/>
          <w:lang w:eastAsia="it-IT"/>
        </w:rPr>
        <w:t xml:space="preserve">Lgs. 231/2001 sia della </w:t>
      </w:r>
      <w:r w:rsidRPr="000318FC">
        <w:rPr>
          <w:rFonts w:ascii="Verdana" w:hAnsi="Verdana"/>
          <w:sz w:val="21"/>
          <w:szCs w:val="21"/>
          <w:lang w:eastAsia="it-IT"/>
        </w:rPr>
        <w:t>L. 190/20212</w:t>
      </w:r>
      <w:r w:rsidR="00F00D48" w:rsidRPr="000318FC">
        <w:rPr>
          <w:rFonts w:ascii="Verdana" w:hAnsi="Verdana"/>
          <w:sz w:val="21"/>
          <w:szCs w:val="21"/>
          <w:lang w:eastAsia="it-IT"/>
        </w:rPr>
        <w:t xml:space="preserve"> è alla quarta revisione approvata dal </w:t>
      </w:r>
      <w:proofErr w:type="spellStart"/>
      <w:r w:rsidR="00F00D48" w:rsidRPr="000318FC">
        <w:rPr>
          <w:rFonts w:ascii="Verdana" w:hAnsi="Verdana"/>
          <w:sz w:val="21"/>
          <w:szCs w:val="21"/>
          <w:lang w:eastAsia="it-IT"/>
        </w:rPr>
        <w:t>CdA</w:t>
      </w:r>
      <w:proofErr w:type="spellEnd"/>
      <w:r w:rsidR="00F00D48" w:rsidRPr="000318FC">
        <w:rPr>
          <w:rFonts w:ascii="Verdana" w:hAnsi="Verdana"/>
          <w:sz w:val="21"/>
          <w:szCs w:val="21"/>
          <w:lang w:eastAsia="it-IT"/>
        </w:rPr>
        <w:t xml:space="preserve"> il 29 febbraio 2024. </w:t>
      </w:r>
      <w:r w:rsidR="00E907BB" w:rsidRPr="000318FC">
        <w:rPr>
          <w:rFonts w:ascii="Verdana" w:hAnsi="Verdana"/>
          <w:sz w:val="21"/>
          <w:szCs w:val="21"/>
          <w:lang w:eastAsia="it-IT"/>
        </w:rPr>
        <w:t>Il</w:t>
      </w:r>
      <w:r w:rsidR="00F00D48" w:rsidRPr="000318FC">
        <w:rPr>
          <w:rFonts w:ascii="Verdana" w:hAnsi="Verdana"/>
          <w:sz w:val="21"/>
          <w:szCs w:val="21"/>
          <w:lang w:eastAsia="it-IT"/>
        </w:rPr>
        <w:t xml:space="preserve"> contenut</w:t>
      </w:r>
      <w:r w:rsidR="00E907BB" w:rsidRPr="000318FC">
        <w:rPr>
          <w:rFonts w:ascii="Verdana" w:hAnsi="Verdana"/>
          <w:sz w:val="21"/>
          <w:szCs w:val="21"/>
          <w:lang w:eastAsia="it-IT"/>
        </w:rPr>
        <w:t>o</w:t>
      </w:r>
      <w:r w:rsidR="00F00D48" w:rsidRPr="000318FC">
        <w:rPr>
          <w:rFonts w:ascii="Verdana" w:hAnsi="Verdana"/>
          <w:sz w:val="21"/>
          <w:szCs w:val="21"/>
          <w:lang w:eastAsia="it-IT"/>
        </w:rPr>
        <w:t xml:space="preserve"> </w:t>
      </w:r>
      <w:r w:rsidR="00E907BB" w:rsidRPr="000318FC">
        <w:rPr>
          <w:rFonts w:ascii="Verdana" w:hAnsi="Verdana"/>
          <w:sz w:val="21"/>
          <w:szCs w:val="21"/>
          <w:lang w:eastAsia="it-IT"/>
        </w:rPr>
        <w:t>tiene conto</w:t>
      </w:r>
      <w:r w:rsidR="00E907BB" w:rsidRPr="00CD66AD">
        <w:rPr>
          <w:rFonts w:ascii="Verdana" w:hAnsi="Verdana"/>
          <w:sz w:val="21"/>
          <w:szCs w:val="21"/>
          <w:lang w:eastAsia="it-IT"/>
        </w:rPr>
        <w:t xml:space="preserve"> anche degli orientamenti espressi dalla Regione Emilia-Romagna, che ha previsto uno “schema tipo” per l’adozione del Codice unico di comportamento per il personale operante nelle Aziende sanitarie regionali</w:t>
      </w:r>
      <w:r w:rsidR="00E907BB" w:rsidRPr="00CD66AD">
        <w:rPr>
          <w:rStyle w:val="Caratterinotaapidipagina"/>
          <w:rFonts w:ascii="Verdana" w:hAnsi="Verdana"/>
          <w:sz w:val="21"/>
          <w:szCs w:val="21"/>
          <w:lang w:eastAsia="it-IT"/>
        </w:rPr>
        <w:footnoteReference w:id="1"/>
      </w:r>
      <w:r w:rsidR="00E907BB" w:rsidRPr="00CD66AD">
        <w:rPr>
          <w:rFonts w:ascii="Verdana" w:hAnsi="Verdana"/>
          <w:sz w:val="21"/>
          <w:szCs w:val="21"/>
          <w:lang w:eastAsia="it-IT"/>
        </w:rPr>
        <w:t>, raccogliendo l’esito del gruppo di lavoro degli RPCT delle Aziende e degli Enti del Servizio Sanitario Regionale che ha adeguato il documento ai sensi del DPR 81/2023</w:t>
      </w:r>
      <w:r w:rsidR="00917026">
        <w:rPr>
          <w:rFonts w:ascii="Verdana" w:hAnsi="Verdana"/>
          <w:sz w:val="21"/>
          <w:szCs w:val="21"/>
          <w:lang w:eastAsia="it-IT"/>
        </w:rPr>
        <w:t>.</w:t>
      </w:r>
    </w:p>
    <w:p w14:paraId="68EF719E" w14:textId="77777777" w:rsidR="00F00D48" w:rsidRDefault="00F00D48" w:rsidP="002529CC">
      <w:pPr>
        <w:shd w:val="clear" w:color="auto" w:fill="FFFFFF"/>
        <w:spacing w:after="150" w:line="240" w:lineRule="auto"/>
        <w:contextualSpacing/>
        <w:jc w:val="both"/>
        <w:rPr>
          <w:rFonts w:ascii="Verdana" w:hAnsi="Verdana"/>
          <w:sz w:val="21"/>
          <w:szCs w:val="21"/>
          <w:lang w:eastAsia="it-IT"/>
        </w:rPr>
      </w:pPr>
    </w:p>
    <w:p w14:paraId="44E69AFB" w14:textId="77777777" w:rsidR="009F7E7B" w:rsidRPr="000318FC" w:rsidRDefault="009F7E7B" w:rsidP="002529CC">
      <w:pPr>
        <w:shd w:val="clear" w:color="auto" w:fill="FFFFFF"/>
        <w:spacing w:after="150" w:line="240" w:lineRule="auto"/>
        <w:contextualSpacing/>
        <w:jc w:val="both"/>
        <w:rPr>
          <w:rFonts w:ascii="Verdana" w:hAnsi="Verdana"/>
          <w:sz w:val="21"/>
          <w:szCs w:val="21"/>
          <w:lang w:eastAsia="it-IT"/>
        </w:rPr>
      </w:pPr>
      <w:r w:rsidRPr="000318FC">
        <w:rPr>
          <w:rFonts w:ascii="Verdana" w:hAnsi="Verdana"/>
          <w:sz w:val="21"/>
          <w:szCs w:val="21"/>
          <w:lang w:eastAsia="it-IT"/>
        </w:rPr>
        <w:t xml:space="preserve">Montecatone </w:t>
      </w:r>
      <w:proofErr w:type="spellStart"/>
      <w:r w:rsidRPr="000318FC">
        <w:rPr>
          <w:rFonts w:ascii="Verdana" w:hAnsi="Verdana"/>
          <w:sz w:val="21"/>
          <w:szCs w:val="21"/>
          <w:lang w:eastAsia="it-IT"/>
        </w:rPr>
        <w:t>Rehabilitation</w:t>
      </w:r>
      <w:proofErr w:type="spellEnd"/>
      <w:r w:rsidRPr="000318FC">
        <w:rPr>
          <w:rFonts w:ascii="Verdana" w:hAnsi="Verdana"/>
          <w:sz w:val="21"/>
          <w:szCs w:val="21"/>
          <w:lang w:eastAsia="it-IT"/>
        </w:rPr>
        <w:t xml:space="preserve"> Institute </w:t>
      </w:r>
      <w:proofErr w:type="spellStart"/>
      <w:r w:rsidRPr="000318FC">
        <w:rPr>
          <w:rFonts w:ascii="Verdana" w:hAnsi="Verdana"/>
          <w:sz w:val="21"/>
          <w:szCs w:val="21"/>
          <w:lang w:eastAsia="it-IT"/>
        </w:rPr>
        <w:t>SpA</w:t>
      </w:r>
      <w:proofErr w:type="spellEnd"/>
      <w:r w:rsidRPr="000318FC">
        <w:rPr>
          <w:rFonts w:ascii="Verdana" w:hAnsi="Verdana"/>
          <w:sz w:val="21"/>
          <w:szCs w:val="21"/>
          <w:lang w:eastAsia="it-IT"/>
        </w:rPr>
        <w:t xml:space="preserve"> costituisce un ospedale mono specialistico di riabilitazione ed è il principale polo regionale di alta specialità riabilitativa.</w:t>
      </w:r>
    </w:p>
    <w:p w14:paraId="5DD46E31" w14:textId="77777777" w:rsidR="00234AB3" w:rsidRPr="00657584" w:rsidRDefault="00234AB3" w:rsidP="002E1494">
      <w:pPr>
        <w:spacing w:after="0" w:line="240" w:lineRule="auto"/>
        <w:jc w:val="both"/>
        <w:rPr>
          <w:rFonts w:ascii="Verdana" w:hAnsi="Verdana"/>
          <w:sz w:val="21"/>
          <w:szCs w:val="21"/>
        </w:rPr>
      </w:pPr>
      <w:r w:rsidRPr="000318FC">
        <w:rPr>
          <w:rFonts w:ascii="Verdana" w:hAnsi="Verdana"/>
          <w:sz w:val="21"/>
          <w:szCs w:val="21"/>
        </w:rPr>
        <w:t>La specificità dell’Ospedale per cui è più noto è</w:t>
      </w:r>
      <w:r w:rsidR="009F7E7B" w:rsidRPr="000318FC">
        <w:rPr>
          <w:rFonts w:ascii="Verdana" w:hAnsi="Verdana"/>
          <w:sz w:val="21"/>
          <w:szCs w:val="21"/>
        </w:rPr>
        <w:t xml:space="preserve"> infatti</w:t>
      </w:r>
      <w:r w:rsidRPr="000318FC">
        <w:rPr>
          <w:rFonts w:ascii="Verdana" w:hAnsi="Verdana"/>
          <w:sz w:val="21"/>
          <w:szCs w:val="21"/>
        </w:rPr>
        <w:t xml:space="preserve"> la destinazione di ben 120</w:t>
      </w:r>
      <w:r w:rsidRPr="00657584">
        <w:rPr>
          <w:rFonts w:ascii="Verdana" w:hAnsi="Verdana"/>
          <w:sz w:val="21"/>
          <w:szCs w:val="21"/>
        </w:rPr>
        <w:t xml:space="preserve"> posti letto sui 150 a persone con lesione midollare ricoverabili in codice 28 (Unità Spinale)</w:t>
      </w:r>
      <w:r w:rsidR="00B45D99" w:rsidRPr="00657584">
        <w:rPr>
          <w:rFonts w:ascii="Verdana" w:hAnsi="Verdana"/>
          <w:sz w:val="21"/>
          <w:szCs w:val="21"/>
        </w:rPr>
        <w:t>,</w:t>
      </w:r>
      <w:r w:rsidRPr="00657584">
        <w:rPr>
          <w:rFonts w:ascii="Verdana" w:hAnsi="Verdana"/>
          <w:sz w:val="21"/>
          <w:szCs w:val="21"/>
        </w:rPr>
        <w:t xml:space="preserve"> in un panorama italiano dove le altre Unità Spinali al massimo </w:t>
      </w:r>
      <w:r w:rsidR="00AA76DB" w:rsidRPr="00657584">
        <w:rPr>
          <w:rFonts w:ascii="Verdana" w:hAnsi="Verdana"/>
          <w:sz w:val="21"/>
          <w:szCs w:val="21"/>
        </w:rPr>
        <w:t>dispongono di</w:t>
      </w:r>
      <w:r w:rsidRPr="00657584">
        <w:rPr>
          <w:rFonts w:ascii="Verdana" w:hAnsi="Verdana"/>
          <w:sz w:val="21"/>
          <w:szCs w:val="21"/>
        </w:rPr>
        <w:t xml:space="preserve"> 40 posti letto. Ciò comporta che per oltre il 60% l’utenza proviene da altre regioni e che un numero ridotto di pazienti ricoverati proviene dal territorio dell’Azienda Usl di Imola. </w:t>
      </w:r>
    </w:p>
    <w:p w14:paraId="399433EE" w14:textId="2B977C95" w:rsidR="00234AB3" w:rsidRPr="00657584" w:rsidRDefault="00234AB3" w:rsidP="002E1494">
      <w:pPr>
        <w:spacing w:after="0" w:line="240" w:lineRule="auto"/>
        <w:jc w:val="both"/>
        <w:rPr>
          <w:rFonts w:ascii="Verdana" w:hAnsi="Verdana"/>
          <w:sz w:val="21"/>
          <w:szCs w:val="21"/>
        </w:rPr>
      </w:pPr>
      <w:r w:rsidRPr="00657584">
        <w:rPr>
          <w:rFonts w:ascii="Verdana" w:hAnsi="Verdana"/>
          <w:sz w:val="21"/>
          <w:szCs w:val="21"/>
        </w:rPr>
        <w:t xml:space="preserve">La natura di Montecatone come </w:t>
      </w:r>
      <w:r w:rsidRPr="00657584">
        <w:rPr>
          <w:rFonts w:ascii="Verdana" w:hAnsi="Verdana"/>
          <w:i/>
          <w:sz w:val="21"/>
          <w:szCs w:val="21"/>
        </w:rPr>
        <w:t>Hub</w:t>
      </w:r>
      <w:r w:rsidRPr="00657584">
        <w:rPr>
          <w:rFonts w:ascii="Verdana" w:hAnsi="Verdana"/>
          <w:sz w:val="21"/>
          <w:szCs w:val="21"/>
        </w:rPr>
        <w:t xml:space="preserve"> regionale per le lesioni midollari, ha </w:t>
      </w:r>
      <w:r w:rsidR="0083505A" w:rsidRPr="003E645C">
        <w:rPr>
          <w:rFonts w:ascii="Verdana" w:hAnsi="Verdana"/>
          <w:sz w:val="21"/>
          <w:szCs w:val="21"/>
        </w:rPr>
        <w:t xml:space="preserve">condotto </w:t>
      </w:r>
      <w:r w:rsidRPr="00657584">
        <w:rPr>
          <w:rFonts w:ascii="Verdana" w:hAnsi="Verdana"/>
          <w:sz w:val="21"/>
          <w:szCs w:val="21"/>
        </w:rPr>
        <w:t>la Direzione a stringere accordi con i servizi territoriali della Regione Emilia-Romagna, in base ai quali i pazienti in condizione acuta devono essere accolti in tempi brevissimi (48 ore dalla trasferibilità dopo la lesione traumatica). Per i pazienti post acuti, dal 2012 è stato attivato un reparto a conduzione infermieristica che prevede Percorsi dedicati alle diverse complicanze – tra queste, prevale la richiesta di ricovero per la gestione della fase post interventi ricostruttivi per lesioni da decubito, fase che comporta degenze di lunga durata.</w:t>
      </w:r>
    </w:p>
    <w:p w14:paraId="0598FB0B" w14:textId="77777777" w:rsidR="002656CB" w:rsidRPr="00657584" w:rsidRDefault="002656CB">
      <w:pPr>
        <w:autoSpaceDE w:val="0"/>
        <w:spacing w:after="0" w:line="240" w:lineRule="auto"/>
        <w:jc w:val="both"/>
        <w:rPr>
          <w:rFonts w:ascii="Verdana" w:hAnsi="Verdana"/>
          <w:bCs/>
          <w:sz w:val="21"/>
          <w:szCs w:val="21"/>
        </w:rPr>
      </w:pPr>
    </w:p>
    <w:p w14:paraId="58E396B5" w14:textId="77777777" w:rsidR="003D19F9" w:rsidRPr="00B45D99" w:rsidRDefault="003D19F9">
      <w:pPr>
        <w:autoSpaceDE w:val="0"/>
        <w:spacing w:after="0" w:line="240" w:lineRule="auto"/>
        <w:jc w:val="both"/>
        <w:rPr>
          <w:rFonts w:ascii="Verdana" w:hAnsi="Verdana"/>
          <w:bCs/>
          <w:sz w:val="21"/>
          <w:szCs w:val="21"/>
          <w:lang w:eastAsia="it-IT"/>
        </w:rPr>
      </w:pPr>
    </w:p>
    <w:p w14:paraId="2E19830F" w14:textId="77777777" w:rsidR="003D19F9" w:rsidRPr="003D19F9" w:rsidRDefault="00DC28D5" w:rsidP="003D19F9">
      <w:pPr>
        <w:pStyle w:val="Titolo1"/>
        <w:numPr>
          <w:ilvl w:val="0"/>
          <w:numId w:val="0"/>
        </w:numPr>
        <w:spacing w:line="276" w:lineRule="auto"/>
        <w:ind w:left="20"/>
        <w:rPr>
          <w:rFonts w:cs="Times New Roman"/>
          <w:lang w:val="it-IT" w:eastAsia="it-IT"/>
        </w:rPr>
      </w:pPr>
      <w:bookmarkStart w:id="1" w:name="_Toc225863523"/>
      <w:r w:rsidRPr="0009315F">
        <w:rPr>
          <w:rFonts w:cs="Times New Roman"/>
          <w:lang w:eastAsia="it-IT"/>
        </w:rPr>
        <w:t>B. PROCESSO DI REDAZIONE E APPROVAZIONE DEL PTPC</w:t>
      </w:r>
      <w:r w:rsidR="006A5FA2" w:rsidRPr="0009315F">
        <w:rPr>
          <w:rFonts w:cs="Times New Roman"/>
          <w:lang w:val="it-IT" w:eastAsia="it-IT"/>
        </w:rPr>
        <w:t>T</w:t>
      </w:r>
      <w:bookmarkEnd w:id="1"/>
    </w:p>
    <w:p w14:paraId="23C5A01B" w14:textId="77777777" w:rsidR="00867B5F" w:rsidRDefault="00DC28D5">
      <w:pPr>
        <w:autoSpaceDE w:val="0"/>
        <w:spacing w:after="0" w:line="240" w:lineRule="auto"/>
        <w:jc w:val="both"/>
        <w:rPr>
          <w:rFonts w:ascii="Verdana" w:hAnsi="Verdana"/>
          <w:sz w:val="21"/>
          <w:szCs w:val="21"/>
        </w:rPr>
      </w:pPr>
      <w:r w:rsidRPr="009D1D41">
        <w:rPr>
          <w:rFonts w:ascii="Verdana" w:hAnsi="Verdana"/>
          <w:bCs/>
          <w:sz w:val="21"/>
          <w:szCs w:val="21"/>
        </w:rPr>
        <w:t xml:space="preserve">Il presente </w:t>
      </w:r>
      <w:r w:rsidRPr="009D1D41">
        <w:rPr>
          <w:rFonts w:ascii="Verdana" w:hAnsi="Verdana"/>
          <w:sz w:val="21"/>
          <w:szCs w:val="21"/>
          <w:lang w:eastAsia="it-IT"/>
        </w:rPr>
        <w:t xml:space="preserve">Piano Triennale della Prevenzione della Corruzione e della Trasparenza (PTPCT) </w:t>
      </w:r>
      <w:r w:rsidR="003831D3">
        <w:rPr>
          <w:rFonts w:ascii="Verdana" w:hAnsi="Verdana"/>
          <w:sz w:val="21"/>
          <w:szCs w:val="21"/>
          <w:lang w:eastAsia="it-IT"/>
        </w:rPr>
        <w:t>2026-2028</w:t>
      </w:r>
      <w:r w:rsidRPr="009D1D41">
        <w:rPr>
          <w:rFonts w:ascii="Verdana" w:hAnsi="Verdana"/>
          <w:sz w:val="21"/>
          <w:szCs w:val="21"/>
          <w:lang w:eastAsia="it-IT"/>
        </w:rPr>
        <w:t xml:space="preserve"> è giunto </w:t>
      </w:r>
      <w:r w:rsidRPr="00A01AB3">
        <w:rPr>
          <w:rFonts w:ascii="Verdana" w:hAnsi="Verdana"/>
          <w:sz w:val="21"/>
          <w:szCs w:val="21"/>
          <w:lang w:eastAsia="it-IT"/>
        </w:rPr>
        <w:t xml:space="preserve">alla </w:t>
      </w:r>
      <w:r w:rsidR="003831D3" w:rsidRPr="00A01AB3">
        <w:rPr>
          <w:rFonts w:ascii="Verdana" w:hAnsi="Verdana"/>
          <w:sz w:val="21"/>
          <w:szCs w:val="21"/>
          <w:lang w:eastAsia="it-IT"/>
        </w:rPr>
        <w:t>undicesim</w:t>
      </w:r>
      <w:r w:rsidR="00FF760E" w:rsidRPr="00A01AB3">
        <w:rPr>
          <w:rFonts w:ascii="Verdana" w:hAnsi="Verdana"/>
          <w:sz w:val="21"/>
          <w:szCs w:val="21"/>
          <w:lang w:eastAsia="it-IT"/>
        </w:rPr>
        <w:t>a</w:t>
      </w:r>
      <w:r w:rsidR="003E5C33" w:rsidRPr="009D1D41">
        <w:rPr>
          <w:rFonts w:ascii="Verdana" w:hAnsi="Verdana"/>
          <w:sz w:val="21"/>
          <w:szCs w:val="21"/>
          <w:lang w:eastAsia="it-IT"/>
        </w:rPr>
        <w:t xml:space="preserve"> </w:t>
      </w:r>
      <w:r w:rsidRPr="009D1D41">
        <w:rPr>
          <w:rFonts w:ascii="Verdana" w:hAnsi="Verdana"/>
          <w:sz w:val="21"/>
          <w:szCs w:val="21"/>
          <w:lang w:eastAsia="it-IT"/>
        </w:rPr>
        <w:t>edizione</w:t>
      </w:r>
      <w:r w:rsidR="008963A0" w:rsidRPr="009D1D41">
        <w:rPr>
          <w:rFonts w:ascii="Verdana" w:hAnsi="Verdana"/>
          <w:bCs/>
          <w:sz w:val="21"/>
          <w:szCs w:val="21"/>
        </w:rPr>
        <w:t>.</w:t>
      </w:r>
      <w:r w:rsidR="00C37203" w:rsidRPr="00C37203">
        <w:rPr>
          <w:rFonts w:ascii="Verdana" w:hAnsi="Verdana"/>
          <w:sz w:val="21"/>
          <w:szCs w:val="21"/>
        </w:rPr>
        <w:t xml:space="preserve"> </w:t>
      </w:r>
      <w:r w:rsidR="00C37203">
        <w:rPr>
          <w:rFonts w:ascii="Verdana" w:hAnsi="Verdana"/>
          <w:sz w:val="21"/>
          <w:szCs w:val="21"/>
        </w:rPr>
        <w:t xml:space="preserve">Il PTPCT </w:t>
      </w:r>
      <w:r w:rsidR="00C37203" w:rsidRPr="00AA245B">
        <w:rPr>
          <w:rFonts w:ascii="Verdana" w:hAnsi="Verdana"/>
          <w:sz w:val="21"/>
          <w:szCs w:val="21"/>
        </w:rPr>
        <w:t xml:space="preserve">è un atto di indirizzo e contiene un programma di </w:t>
      </w:r>
      <w:r w:rsidR="00C37203" w:rsidRPr="002735D5">
        <w:rPr>
          <w:rFonts w:ascii="Verdana" w:hAnsi="Verdana"/>
          <w:sz w:val="21"/>
          <w:szCs w:val="21"/>
        </w:rPr>
        <w:t xml:space="preserve">attività con </w:t>
      </w:r>
      <w:r w:rsidR="00C37203">
        <w:rPr>
          <w:rFonts w:ascii="Verdana" w:hAnsi="Verdana"/>
          <w:sz w:val="21"/>
          <w:szCs w:val="21"/>
        </w:rPr>
        <w:t>una prospettiva di validità</w:t>
      </w:r>
      <w:r w:rsidR="00C37203" w:rsidRPr="002735D5">
        <w:rPr>
          <w:rFonts w:ascii="Verdana" w:hAnsi="Verdana"/>
          <w:sz w:val="21"/>
          <w:szCs w:val="21"/>
        </w:rPr>
        <w:t xml:space="preserve"> triennale: in esso sono indicate le aree di rischio e i rispettivi rischi specifici di ogni</w:t>
      </w:r>
      <w:r w:rsidR="00C37203" w:rsidRPr="00AA245B">
        <w:rPr>
          <w:rFonts w:ascii="Verdana" w:hAnsi="Verdana"/>
          <w:sz w:val="21"/>
          <w:szCs w:val="21"/>
        </w:rPr>
        <w:t xml:space="preserve"> processo e sub-processo rivisitati, rinnovati e/o confermati rispetto ai piani precedenti; sono inoltre segnalate le misure da implementare per la prevenzione in relazione al livello di pericolosità dei rischi specifici, così come sono state recepite dal RPCT durante gli incontri anche informali avvenuti con i responsabili aziendali.</w:t>
      </w:r>
    </w:p>
    <w:p w14:paraId="6F9BF47D" w14:textId="77777777" w:rsidR="00A753F1" w:rsidRDefault="00A753F1">
      <w:pPr>
        <w:autoSpaceDE w:val="0"/>
        <w:spacing w:after="0" w:line="240" w:lineRule="auto"/>
        <w:jc w:val="both"/>
        <w:rPr>
          <w:rFonts w:ascii="Verdana" w:hAnsi="Verdana"/>
          <w:sz w:val="21"/>
          <w:szCs w:val="21"/>
        </w:rPr>
      </w:pPr>
    </w:p>
    <w:p w14:paraId="4CFF4097" w14:textId="77777777" w:rsidR="004D7B46" w:rsidRPr="00CD66AD" w:rsidRDefault="004D7B46">
      <w:pPr>
        <w:autoSpaceDE w:val="0"/>
        <w:spacing w:after="0" w:line="240" w:lineRule="auto"/>
        <w:jc w:val="both"/>
        <w:rPr>
          <w:rFonts w:ascii="Verdana" w:hAnsi="Verdana"/>
          <w:sz w:val="21"/>
          <w:szCs w:val="21"/>
        </w:rPr>
      </w:pPr>
      <w:r w:rsidRPr="00CD66AD">
        <w:rPr>
          <w:rFonts w:ascii="Verdana" w:hAnsi="Verdana"/>
          <w:sz w:val="21"/>
          <w:szCs w:val="21"/>
        </w:rPr>
        <w:t xml:space="preserve">L’obiettivo primario del piano è lo sviluppo di una sensibilità culturale </w:t>
      </w:r>
      <w:r w:rsidR="00394F8B">
        <w:rPr>
          <w:rFonts w:ascii="Verdana" w:hAnsi="Verdana"/>
          <w:sz w:val="21"/>
          <w:szCs w:val="21"/>
        </w:rPr>
        <w:t>n</w:t>
      </w:r>
      <w:r w:rsidRPr="00CD66AD">
        <w:rPr>
          <w:rFonts w:ascii="Verdana" w:hAnsi="Verdana"/>
          <w:sz w:val="21"/>
          <w:szCs w:val="21"/>
        </w:rPr>
        <w:t>ella prevenzione</w:t>
      </w:r>
      <w:r w:rsidR="009F601C" w:rsidRPr="00CD66AD">
        <w:rPr>
          <w:rFonts w:ascii="Verdana" w:hAnsi="Verdana"/>
          <w:sz w:val="21"/>
          <w:szCs w:val="21"/>
        </w:rPr>
        <w:t xml:space="preserve"> della corruzione</w:t>
      </w:r>
      <w:r w:rsidR="00A753F1" w:rsidRPr="00CD66AD">
        <w:rPr>
          <w:rFonts w:ascii="Verdana" w:hAnsi="Verdana"/>
          <w:sz w:val="21"/>
          <w:szCs w:val="21"/>
        </w:rPr>
        <w:t xml:space="preserve"> </w:t>
      </w:r>
      <w:r w:rsidRPr="00CD66AD">
        <w:rPr>
          <w:rFonts w:ascii="Verdana" w:hAnsi="Verdana"/>
          <w:sz w:val="21"/>
          <w:szCs w:val="21"/>
        </w:rPr>
        <w:t>per un migliore funzionamento dell’amministrazione al servizio dei cittadini. Il</w:t>
      </w:r>
      <w:r w:rsidR="009F601C" w:rsidRPr="00CD66AD">
        <w:rPr>
          <w:rFonts w:ascii="Verdana" w:hAnsi="Verdana"/>
          <w:sz w:val="21"/>
          <w:szCs w:val="21"/>
        </w:rPr>
        <w:t xml:space="preserve"> termine</w:t>
      </w:r>
      <w:r w:rsidRPr="00CD66AD">
        <w:rPr>
          <w:rFonts w:ascii="Verdana" w:hAnsi="Verdana"/>
          <w:sz w:val="21"/>
          <w:szCs w:val="21"/>
        </w:rPr>
        <w:t xml:space="preserve"> “corruzione” </w:t>
      </w:r>
      <w:r w:rsidR="009F601C" w:rsidRPr="00CD66AD">
        <w:rPr>
          <w:rFonts w:ascii="Verdana" w:hAnsi="Verdana"/>
          <w:sz w:val="21"/>
          <w:szCs w:val="21"/>
        </w:rPr>
        <w:t>assume nel testo e nelle azioni programmate per contrastarla il significato più ampio di cattiva amministrazione intesa come deviazione dal perseguimento degli interessi pubblici che possano o non possano sfociare in fattispecie di natura penale in senso stretto</w:t>
      </w:r>
      <w:r w:rsidR="00A753F1" w:rsidRPr="00CD66AD">
        <w:rPr>
          <w:rFonts w:ascii="Verdana" w:hAnsi="Verdana"/>
          <w:sz w:val="21"/>
          <w:szCs w:val="21"/>
        </w:rPr>
        <w:t>.</w:t>
      </w:r>
    </w:p>
    <w:p w14:paraId="775DD152" w14:textId="77777777" w:rsidR="004D7B46" w:rsidRPr="00AA245B" w:rsidRDefault="004D7B46">
      <w:pPr>
        <w:autoSpaceDE w:val="0"/>
        <w:spacing w:after="0" w:line="240" w:lineRule="auto"/>
        <w:jc w:val="both"/>
        <w:rPr>
          <w:rFonts w:ascii="Verdana" w:hAnsi="Verdana"/>
          <w:sz w:val="21"/>
          <w:szCs w:val="21"/>
        </w:rPr>
      </w:pPr>
    </w:p>
    <w:p w14:paraId="65342947" w14:textId="77777777" w:rsidR="00DC28D5" w:rsidRDefault="00DC28D5">
      <w:pPr>
        <w:autoSpaceDE w:val="0"/>
        <w:spacing w:after="0" w:line="240" w:lineRule="auto"/>
        <w:contextualSpacing/>
        <w:jc w:val="both"/>
        <w:rPr>
          <w:rFonts w:ascii="Verdana" w:hAnsi="Verdana"/>
          <w:bCs/>
          <w:sz w:val="21"/>
          <w:szCs w:val="21"/>
        </w:rPr>
      </w:pPr>
      <w:r w:rsidRPr="00CD66AD">
        <w:rPr>
          <w:rFonts w:ascii="Verdana" w:hAnsi="Verdana"/>
          <w:bCs/>
          <w:sz w:val="21"/>
          <w:szCs w:val="21"/>
        </w:rPr>
        <w:t xml:space="preserve">Il documento, come le precedenti versioni, recepisce e attua </w:t>
      </w:r>
      <w:r w:rsidR="000452F2" w:rsidRPr="00CD66AD">
        <w:rPr>
          <w:rFonts w:ascii="Verdana" w:hAnsi="Verdana"/>
          <w:bCs/>
          <w:sz w:val="21"/>
          <w:szCs w:val="21"/>
        </w:rPr>
        <w:t xml:space="preserve">le disposizioni </w:t>
      </w:r>
      <w:r w:rsidRPr="00CD66AD">
        <w:rPr>
          <w:rFonts w:ascii="Verdana" w:hAnsi="Verdana"/>
          <w:bCs/>
          <w:sz w:val="21"/>
          <w:szCs w:val="21"/>
        </w:rPr>
        <w:t>fornite da ANAC</w:t>
      </w:r>
      <w:r w:rsidR="000452F2" w:rsidRPr="00CD66AD">
        <w:rPr>
          <w:rFonts w:ascii="Verdana" w:hAnsi="Verdana"/>
          <w:bCs/>
          <w:sz w:val="21"/>
          <w:szCs w:val="21"/>
        </w:rPr>
        <w:t xml:space="preserve"> a partire dal 201</w:t>
      </w:r>
      <w:r w:rsidR="00415406" w:rsidRPr="00CD66AD">
        <w:rPr>
          <w:rFonts w:ascii="Verdana" w:hAnsi="Verdana"/>
          <w:bCs/>
          <w:sz w:val="21"/>
          <w:szCs w:val="21"/>
        </w:rPr>
        <w:t xml:space="preserve">6 </w:t>
      </w:r>
      <w:r w:rsidR="00D328D2">
        <w:rPr>
          <w:rFonts w:ascii="Verdana" w:hAnsi="Verdana"/>
          <w:bCs/>
          <w:sz w:val="21"/>
          <w:szCs w:val="21"/>
        </w:rPr>
        <w:t xml:space="preserve">e in </w:t>
      </w:r>
      <w:r w:rsidR="008D702C" w:rsidRPr="00A30127">
        <w:rPr>
          <w:rFonts w:ascii="Verdana" w:hAnsi="Verdana"/>
          <w:bCs/>
          <w:sz w:val="21"/>
          <w:szCs w:val="21"/>
        </w:rPr>
        <w:t>ultimo anche dell’aggiornamento 2023 del PNA 2022 di cui alla delibera ANAC 605 del 19.12.2023</w:t>
      </w:r>
      <w:r w:rsidR="008D702C">
        <w:rPr>
          <w:rFonts w:ascii="Verdana" w:hAnsi="Verdana"/>
          <w:bCs/>
          <w:sz w:val="21"/>
          <w:szCs w:val="21"/>
        </w:rPr>
        <w:t xml:space="preserve"> </w:t>
      </w:r>
      <w:r w:rsidR="00415406" w:rsidRPr="00CD66AD">
        <w:rPr>
          <w:rFonts w:ascii="Verdana" w:hAnsi="Verdana"/>
          <w:bCs/>
          <w:sz w:val="21"/>
          <w:szCs w:val="21"/>
        </w:rPr>
        <w:t>e tiene conto</w:t>
      </w:r>
      <w:r w:rsidR="000452F2" w:rsidRPr="00CD66AD">
        <w:rPr>
          <w:rFonts w:ascii="Verdana" w:hAnsi="Verdana"/>
          <w:bCs/>
          <w:sz w:val="21"/>
          <w:szCs w:val="21"/>
        </w:rPr>
        <w:t xml:space="preserve"> </w:t>
      </w:r>
      <w:r w:rsidRPr="00CD66AD">
        <w:rPr>
          <w:rFonts w:ascii="Verdana" w:hAnsi="Verdana"/>
          <w:bCs/>
          <w:sz w:val="21"/>
          <w:szCs w:val="21"/>
        </w:rPr>
        <w:t>delle informazioni relative all’ambito sanitario fornite dall’Assessorato regionale alla Sanità</w:t>
      </w:r>
      <w:r w:rsidR="005F5AA6" w:rsidRPr="00CD66AD">
        <w:rPr>
          <w:rFonts w:ascii="Verdana" w:hAnsi="Verdana"/>
          <w:bCs/>
          <w:sz w:val="21"/>
          <w:szCs w:val="21"/>
        </w:rPr>
        <w:t>,</w:t>
      </w:r>
      <w:r w:rsidRPr="00CD66AD">
        <w:rPr>
          <w:rFonts w:ascii="Verdana" w:hAnsi="Verdana"/>
          <w:bCs/>
          <w:sz w:val="21"/>
          <w:szCs w:val="21"/>
        </w:rPr>
        <w:t xml:space="preserve"> nonché dall’OIV Regionale. </w:t>
      </w:r>
    </w:p>
    <w:p w14:paraId="1D20779D" w14:textId="391E29CC" w:rsidR="002A0315" w:rsidRPr="00A01AB3" w:rsidRDefault="002A0315">
      <w:pPr>
        <w:autoSpaceDE w:val="0"/>
        <w:spacing w:after="0" w:line="240" w:lineRule="auto"/>
        <w:contextualSpacing/>
        <w:jc w:val="both"/>
        <w:rPr>
          <w:rFonts w:ascii="Verdana" w:hAnsi="Verdana"/>
          <w:bCs/>
          <w:sz w:val="21"/>
          <w:szCs w:val="21"/>
        </w:rPr>
      </w:pPr>
      <w:r w:rsidRPr="00A01AB3">
        <w:rPr>
          <w:rFonts w:ascii="Verdana" w:hAnsi="Verdana"/>
          <w:bCs/>
          <w:sz w:val="21"/>
          <w:szCs w:val="21"/>
        </w:rPr>
        <w:t>Sono state prese in considerazione anche le delibere ANAC n. 464 (</w:t>
      </w:r>
      <w:r w:rsidR="00B360A5" w:rsidRPr="00A01AB3">
        <w:rPr>
          <w:rFonts w:ascii="Verdana" w:hAnsi="Verdana"/>
          <w:bCs/>
          <w:sz w:val="21"/>
          <w:szCs w:val="21"/>
        </w:rPr>
        <w:t>E</w:t>
      </w:r>
      <w:r w:rsidRPr="00A01AB3">
        <w:rPr>
          <w:rFonts w:ascii="Verdana" w:hAnsi="Verdana"/>
          <w:bCs/>
          <w:sz w:val="21"/>
          <w:szCs w:val="21"/>
        </w:rPr>
        <w:t>sercizio del potere di vigilanza e accertamento</w:t>
      </w:r>
      <w:r w:rsidR="00B360A5" w:rsidRPr="00A01AB3">
        <w:rPr>
          <w:rFonts w:ascii="Verdana" w:hAnsi="Verdana"/>
          <w:bCs/>
          <w:sz w:val="21"/>
          <w:szCs w:val="21"/>
        </w:rPr>
        <w:t>,</w:t>
      </w:r>
      <w:r w:rsidRPr="00A01AB3">
        <w:rPr>
          <w:rFonts w:ascii="Verdana" w:hAnsi="Verdana"/>
          <w:bCs/>
          <w:sz w:val="21"/>
          <w:szCs w:val="21"/>
        </w:rPr>
        <w:t xml:space="preserve"> da parte del RPCT e dell’ANAC, in materia di inconferibilità e incompatibilità di incarichi di cui al </w:t>
      </w:r>
      <w:proofErr w:type="spellStart"/>
      <w:r w:rsidR="00B360A5" w:rsidRPr="00A01AB3">
        <w:rPr>
          <w:rFonts w:ascii="Verdana" w:hAnsi="Verdana"/>
          <w:bCs/>
          <w:sz w:val="21"/>
          <w:szCs w:val="21"/>
        </w:rPr>
        <w:t>D</w:t>
      </w:r>
      <w:r w:rsidRPr="00A01AB3">
        <w:rPr>
          <w:rFonts w:ascii="Verdana" w:hAnsi="Verdana"/>
          <w:bCs/>
          <w:sz w:val="21"/>
          <w:szCs w:val="21"/>
        </w:rPr>
        <w:t>.</w:t>
      </w:r>
      <w:r w:rsidR="00B360A5" w:rsidRPr="00A01AB3">
        <w:rPr>
          <w:rFonts w:ascii="Verdana" w:hAnsi="Verdana"/>
          <w:bCs/>
          <w:sz w:val="21"/>
          <w:szCs w:val="21"/>
        </w:rPr>
        <w:t>L</w:t>
      </w:r>
      <w:r w:rsidRPr="00A01AB3">
        <w:rPr>
          <w:rFonts w:ascii="Verdana" w:hAnsi="Verdana"/>
          <w:bCs/>
          <w:sz w:val="21"/>
          <w:szCs w:val="21"/>
        </w:rPr>
        <w:t>gs.</w:t>
      </w:r>
      <w:proofErr w:type="spellEnd"/>
      <w:r w:rsidRPr="00A01AB3">
        <w:rPr>
          <w:rFonts w:ascii="Verdana" w:hAnsi="Verdana"/>
          <w:bCs/>
          <w:sz w:val="21"/>
          <w:szCs w:val="21"/>
        </w:rPr>
        <w:t xml:space="preserve"> </w:t>
      </w:r>
      <w:r w:rsidR="00B360A5" w:rsidRPr="00A01AB3">
        <w:rPr>
          <w:rFonts w:ascii="Verdana" w:hAnsi="Verdana"/>
          <w:bCs/>
          <w:sz w:val="21"/>
          <w:szCs w:val="21"/>
        </w:rPr>
        <w:t>n</w:t>
      </w:r>
      <w:r w:rsidRPr="00A01AB3">
        <w:rPr>
          <w:rFonts w:ascii="Verdana" w:hAnsi="Verdana"/>
          <w:bCs/>
          <w:sz w:val="21"/>
          <w:szCs w:val="21"/>
        </w:rPr>
        <w:t xml:space="preserve">.39 del 2013) e n. 478 del 26 </w:t>
      </w:r>
      <w:r w:rsidRPr="00BE6652">
        <w:rPr>
          <w:rFonts w:ascii="Verdana" w:hAnsi="Verdana"/>
          <w:bCs/>
          <w:sz w:val="21"/>
          <w:szCs w:val="21"/>
        </w:rPr>
        <w:t>novembre 2025 (Linee guida in materia di Whistleblowing sui canali interni di segnalazione)</w:t>
      </w:r>
      <w:r w:rsidR="002177E9" w:rsidRPr="00BE6652">
        <w:rPr>
          <w:rFonts w:ascii="Verdana" w:hAnsi="Verdana"/>
          <w:bCs/>
          <w:sz w:val="21"/>
          <w:szCs w:val="21"/>
        </w:rPr>
        <w:t xml:space="preserve"> e n. 479 (Modifica ed integrazione della</w:t>
      </w:r>
      <w:r w:rsidR="00BE6652">
        <w:rPr>
          <w:rFonts w:ascii="Verdana" w:hAnsi="Verdana"/>
          <w:bCs/>
          <w:sz w:val="21"/>
          <w:szCs w:val="21"/>
        </w:rPr>
        <w:t xml:space="preserve"> Delibera n. 311 del 12 luglio 2023</w:t>
      </w:r>
      <w:r w:rsidR="002177E9" w:rsidRPr="00BE6652">
        <w:rPr>
          <w:rFonts w:ascii="Verdana" w:hAnsi="Verdana"/>
          <w:bCs/>
          <w:sz w:val="21"/>
          <w:szCs w:val="21"/>
        </w:rPr>
        <w:t> recante 'Linee guida in materia di protezione delle persone che segnalano violazioni del diritto dell’Unione e protezione delle persone che segnalano violazioni delle disposizioni normative nazionali. Procedure per la presentazione e gestione delle segnalazioni esterne</w:t>
      </w:r>
      <w:r w:rsidR="00222B48" w:rsidRPr="00BE6652">
        <w:rPr>
          <w:rFonts w:ascii="Verdana" w:hAnsi="Verdana"/>
          <w:bCs/>
          <w:sz w:val="21"/>
          <w:szCs w:val="21"/>
        </w:rPr>
        <w:t>’</w:t>
      </w:r>
      <w:r w:rsidR="002177E9" w:rsidRPr="00BE6652">
        <w:rPr>
          <w:rFonts w:ascii="Verdana" w:hAnsi="Verdana"/>
          <w:bCs/>
          <w:sz w:val="21"/>
          <w:szCs w:val="21"/>
        </w:rPr>
        <w:t>)</w:t>
      </w:r>
      <w:r w:rsidRPr="00BE6652">
        <w:rPr>
          <w:rFonts w:ascii="Verdana" w:hAnsi="Verdana"/>
          <w:bCs/>
          <w:sz w:val="21"/>
          <w:szCs w:val="21"/>
        </w:rPr>
        <w:t>; inoltre le delibere n.</w:t>
      </w:r>
      <w:r w:rsidR="00B360A5" w:rsidRPr="00A01AB3">
        <w:rPr>
          <w:rFonts w:ascii="Verdana" w:hAnsi="Verdana"/>
          <w:bCs/>
          <w:sz w:val="21"/>
          <w:szCs w:val="21"/>
        </w:rPr>
        <w:t xml:space="preserve"> </w:t>
      </w:r>
      <w:r w:rsidRPr="00A01AB3">
        <w:rPr>
          <w:rFonts w:ascii="Verdana" w:hAnsi="Verdana"/>
          <w:bCs/>
          <w:sz w:val="21"/>
          <w:szCs w:val="21"/>
        </w:rPr>
        <w:t>481 e 497 del 3 dicembre 2025 relative a</w:t>
      </w:r>
      <w:r w:rsidR="00B360A5" w:rsidRPr="00A01AB3">
        <w:rPr>
          <w:rFonts w:ascii="Verdana" w:hAnsi="Verdana"/>
          <w:bCs/>
          <w:sz w:val="21"/>
          <w:szCs w:val="21"/>
        </w:rPr>
        <w:t xml:space="preserve">gli schemi di pubblicazione </w:t>
      </w:r>
      <w:r w:rsidR="00CA5AF6" w:rsidRPr="00A01AB3">
        <w:rPr>
          <w:rFonts w:ascii="Verdana" w:hAnsi="Verdana"/>
          <w:bCs/>
          <w:sz w:val="21"/>
          <w:szCs w:val="21"/>
        </w:rPr>
        <w:t xml:space="preserve">dei dati e informazioni </w:t>
      </w:r>
      <w:r w:rsidR="00B360A5" w:rsidRPr="00A01AB3">
        <w:rPr>
          <w:rFonts w:ascii="Verdana" w:hAnsi="Verdana"/>
          <w:bCs/>
          <w:sz w:val="21"/>
          <w:szCs w:val="21"/>
        </w:rPr>
        <w:t>su</w:t>
      </w:r>
      <w:r w:rsidRPr="00A01AB3">
        <w:rPr>
          <w:rFonts w:ascii="Verdana" w:hAnsi="Verdana"/>
          <w:bCs/>
          <w:sz w:val="21"/>
          <w:szCs w:val="21"/>
        </w:rPr>
        <w:t xml:space="preserve"> </w:t>
      </w:r>
      <w:r w:rsidR="00B360A5" w:rsidRPr="00A01AB3">
        <w:rPr>
          <w:rFonts w:ascii="Verdana" w:hAnsi="Verdana"/>
          <w:bCs/>
          <w:sz w:val="21"/>
          <w:szCs w:val="21"/>
        </w:rPr>
        <w:t>S</w:t>
      </w:r>
      <w:r w:rsidRPr="00A01AB3">
        <w:rPr>
          <w:rFonts w:ascii="Verdana" w:hAnsi="Verdana"/>
          <w:bCs/>
          <w:sz w:val="21"/>
          <w:szCs w:val="21"/>
        </w:rPr>
        <w:t xml:space="preserve">ocietà </w:t>
      </w:r>
      <w:r w:rsidR="00B360A5" w:rsidRPr="00A01AB3">
        <w:rPr>
          <w:rFonts w:ascii="Verdana" w:hAnsi="Verdana"/>
          <w:bCs/>
          <w:sz w:val="21"/>
          <w:szCs w:val="21"/>
        </w:rPr>
        <w:t>T</w:t>
      </w:r>
      <w:r w:rsidRPr="00A01AB3">
        <w:rPr>
          <w:rFonts w:ascii="Verdana" w:hAnsi="Verdana"/>
          <w:bCs/>
          <w:sz w:val="21"/>
          <w:szCs w:val="21"/>
        </w:rPr>
        <w:t>rasparente.</w:t>
      </w:r>
    </w:p>
    <w:p w14:paraId="01998E51" w14:textId="7FFBA0E6" w:rsidR="008420FF" w:rsidRPr="00A01AB3" w:rsidRDefault="008420FF" w:rsidP="008420FF">
      <w:pPr>
        <w:autoSpaceDE w:val="0"/>
        <w:spacing w:after="0" w:line="240" w:lineRule="auto"/>
        <w:contextualSpacing/>
        <w:jc w:val="both"/>
        <w:rPr>
          <w:rFonts w:ascii="Verdana" w:hAnsi="Verdana"/>
          <w:bCs/>
          <w:sz w:val="21"/>
          <w:szCs w:val="21"/>
        </w:rPr>
      </w:pPr>
      <w:r w:rsidRPr="00A01AB3">
        <w:rPr>
          <w:rFonts w:ascii="Verdana" w:hAnsi="Verdana"/>
          <w:bCs/>
          <w:sz w:val="21"/>
          <w:szCs w:val="21"/>
        </w:rPr>
        <w:t>Il P</w:t>
      </w:r>
      <w:r w:rsidR="00B360A5" w:rsidRPr="00A01AB3">
        <w:rPr>
          <w:rFonts w:ascii="Verdana" w:hAnsi="Verdana"/>
          <w:bCs/>
          <w:sz w:val="21"/>
          <w:szCs w:val="21"/>
        </w:rPr>
        <w:t>NA</w:t>
      </w:r>
      <w:r w:rsidRPr="00A01AB3">
        <w:rPr>
          <w:rFonts w:ascii="Verdana" w:hAnsi="Verdana"/>
          <w:bCs/>
          <w:sz w:val="21"/>
          <w:szCs w:val="21"/>
        </w:rPr>
        <w:t xml:space="preserve"> 2025</w:t>
      </w:r>
      <w:r w:rsidR="00B360A5" w:rsidRPr="00A01AB3">
        <w:rPr>
          <w:rFonts w:ascii="Verdana" w:hAnsi="Verdana"/>
          <w:bCs/>
          <w:sz w:val="21"/>
          <w:szCs w:val="21"/>
        </w:rPr>
        <w:t xml:space="preserve"> (Piano Nazionale Anticorruzione 2025 </w:t>
      </w:r>
      <w:r w:rsidR="000746A9" w:rsidRPr="00A01AB3">
        <w:rPr>
          <w:rFonts w:ascii="Verdana" w:hAnsi="Verdana"/>
          <w:bCs/>
          <w:sz w:val="21"/>
          <w:szCs w:val="21"/>
        </w:rPr>
        <w:t xml:space="preserve">contenente le linee strategiche nazionali per la prevenzione </w:t>
      </w:r>
      <w:r w:rsidR="000746A9" w:rsidRPr="00EC4713">
        <w:rPr>
          <w:rFonts w:ascii="Verdana" w:hAnsi="Verdana"/>
          <w:bCs/>
          <w:sz w:val="21"/>
          <w:szCs w:val="21"/>
        </w:rPr>
        <w:t>della corruzione e per la promozione della trasparenza e dell’integrità pubblica riferite al triennio 202</w:t>
      </w:r>
      <w:r w:rsidR="001A5288" w:rsidRPr="00EC4713">
        <w:rPr>
          <w:rFonts w:ascii="Verdana" w:hAnsi="Verdana"/>
          <w:bCs/>
          <w:sz w:val="21"/>
          <w:szCs w:val="21"/>
        </w:rPr>
        <w:t>6</w:t>
      </w:r>
      <w:r w:rsidR="000746A9" w:rsidRPr="00EC4713">
        <w:rPr>
          <w:rFonts w:ascii="Verdana" w:hAnsi="Verdana"/>
          <w:bCs/>
          <w:sz w:val="21"/>
          <w:szCs w:val="21"/>
        </w:rPr>
        <w:t>-202</w:t>
      </w:r>
      <w:r w:rsidR="001A5288" w:rsidRPr="00EC4713">
        <w:rPr>
          <w:rFonts w:ascii="Verdana" w:hAnsi="Verdana"/>
          <w:bCs/>
          <w:sz w:val="21"/>
          <w:szCs w:val="21"/>
        </w:rPr>
        <w:t>8</w:t>
      </w:r>
      <w:r w:rsidR="00222B48" w:rsidRPr="00EC4713">
        <w:rPr>
          <w:rFonts w:ascii="Verdana" w:hAnsi="Verdana"/>
          <w:bCs/>
          <w:sz w:val="21"/>
          <w:szCs w:val="21"/>
        </w:rPr>
        <w:t>)</w:t>
      </w:r>
      <w:r w:rsidR="001A5288" w:rsidRPr="00EC4713">
        <w:rPr>
          <w:rFonts w:ascii="Verdana" w:hAnsi="Verdana"/>
          <w:bCs/>
          <w:sz w:val="21"/>
          <w:szCs w:val="21"/>
        </w:rPr>
        <w:t xml:space="preserve"> è stato approvato con la delibera ANAC n. 19 del 28 gennaio 2026 e pubblicato nella Gazzetta Ufficiale Serie Generale n. 41 del 19 febbraio 2026</w:t>
      </w:r>
      <w:r w:rsidR="00222B48" w:rsidRPr="00EC4713">
        <w:rPr>
          <w:rFonts w:ascii="Verdana" w:hAnsi="Verdana"/>
          <w:bCs/>
          <w:sz w:val="21"/>
          <w:szCs w:val="21"/>
        </w:rPr>
        <w:t>,</w:t>
      </w:r>
      <w:r w:rsidR="001A5288" w:rsidRPr="00EC4713">
        <w:rPr>
          <w:rFonts w:ascii="Verdana" w:hAnsi="Verdana"/>
          <w:bCs/>
          <w:sz w:val="21"/>
          <w:szCs w:val="21"/>
        </w:rPr>
        <w:t xml:space="preserve"> a</w:t>
      </w:r>
      <w:r w:rsidR="00F32379" w:rsidRPr="00EC4713">
        <w:rPr>
          <w:rFonts w:ascii="Verdana" w:hAnsi="Verdana"/>
          <w:bCs/>
          <w:sz w:val="21"/>
          <w:szCs w:val="21"/>
        </w:rPr>
        <w:t xml:space="preserve"> seguit</w:t>
      </w:r>
      <w:r w:rsidR="001A5288" w:rsidRPr="00EC4713">
        <w:rPr>
          <w:rFonts w:ascii="Verdana" w:hAnsi="Verdana"/>
          <w:bCs/>
          <w:sz w:val="21"/>
          <w:szCs w:val="21"/>
        </w:rPr>
        <w:t>o</w:t>
      </w:r>
      <w:r w:rsidR="00F32379" w:rsidRPr="00EC4713">
        <w:rPr>
          <w:rFonts w:ascii="Verdana" w:hAnsi="Verdana"/>
          <w:bCs/>
          <w:sz w:val="21"/>
          <w:szCs w:val="21"/>
        </w:rPr>
        <w:t xml:space="preserve"> </w:t>
      </w:r>
      <w:r w:rsidR="001A5288" w:rsidRPr="00EC4713">
        <w:rPr>
          <w:rFonts w:ascii="Verdana" w:hAnsi="Verdana"/>
          <w:bCs/>
          <w:sz w:val="21"/>
          <w:szCs w:val="21"/>
        </w:rPr>
        <w:t>di una</w:t>
      </w:r>
      <w:r w:rsidR="00F32379" w:rsidRPr="00EC4713">
        <w:rPr>
          <w:rFonts w:ascii="Verdana" w:hAnsi="Verdana"/>
          <w:bCs/>
          <w:sz w:val="21"/>
          <w:szCs w:val="21"/>
        </w:rPr>
        <w:t xml:space="preserve"> </w:t>
      </w:r>
      <w:r w:rsidRPr="00EC4713">
        <w:rPr>
          <w:rFonts w:ascii="Verdana" w:hAnsi="Verdana"/>
          <w:bCs/>
          <w:sz w:val="21"/>
          <w:szCs w:val="21"/>
        </w:rPr>
        <w:t>corposa fase di consultazione</w:t>
      </w:r>
      <w:r w:rsidRPr="00A01AB3">
        <w:rPr>
          <w:rFonts w:ascii="Verdana" w:hAnsi="Verdana"/>
          <w:bCs/>
          <w:sz w:val="21"/>
          <w:szCs w:val="21"/>
        </w:rPr>
        <w:t xml:space="preserve"> alla quale la Società non ha partecipato.</w:t>
      </w:r>
    </w:p>
    <w:p w14:paraId="7AF56974" w14:textId="77777777" w:rsidR="00867B5F" w:rsidRPr="00CD66AD" w:rsidRDefault="00867B5F">
      <w:pPr>
        <w:autoSpaceDE w:val="0"/>
        <w:spacing w:after="0" w:line="240" w:lineRule="auto"/>
        <w:contextualSpacing/>
        <w:jc w:val="both"/>
        <w:rPr>
          <w:rFonts w:ascii="Verdana" w:hAnsi="Verdana"/>
          <w:sz w:val="21"/>
          <w:szCs w:val="21"/>
        </w:rPr>
      </w:pPr>
    </w:p>
    <w:p w14:paraId="33DB718B" w14:textId="77777777" w:rsidR="00DC28D5" w:rsidRPr="00CD66AD" w:rsidRDefault="00DC28D5">
      <w:pPr>
        <w:autoSpaceDE w:val="0"/>
        <w:spacing w:after="0" w:line="240" w:lineRule="auto"/>
        <w:jc w:val="both"/>
        <w:rPr>
          <w:rFonts w:ascii="Verdana" w:hAnsi="Verdana"/>
          <w:sz w:val="21"/>
          <w:szCs w:val="21"/>
        </w:rPr>
      </w:pPr>
      <w:r w:rsidRPr="00CD66AD">
        <w:rPr>
          <w:rFonts w:ascii="Verdana" w:hAnsi="Verdana"/>
          <w:sz w:val="21"/>
          <w:szCs w:val="21"/>
        </w:rPr>
        <w:t xml:space="preserve">Anche il presente PTPCT </w:t>
      </w:r>
      <w:r w:rsidR="00FF760E" w:rsidRPr="00CD66AD">
        <w:rPr>
          <w:rFonts w:ascii="Verdana" w:hAnsi="Verdana"/>
          <w:sz w:val="21"/>
          <w:szCs w:val="21"/>
        </w:rPr>
        <w:t>è quindi stato redatto</w:t>
      </w:r>
      <w:r w:rsidR="00EF0979" w:rsidRPr="00CD66AD">
        <w:rPr>
          <w:rFonts w:ascii="Verdana" w:hAnsi="Verdana"/>
          <w:sz w:val="21"/>
          <w:szCs w:val="21"/>
        </w:rPr>
        <w:t xml:space="preserve"> seguendo </w:t>
      </w:r>
      <w:r w:rsidR="00B64B36">
        <w:rPr>
          <w:rFonts w:ascii="Verdana" w:hAnsi="Verdana"/>
          <w:sz w:val="21"/>
          <w:szCs w:val="21"/>
        </w:rPr>
        <w:t>l’</w:t>
      </w:r>
      <w:r w:rsidR="00EF0979" w:rsidRPr="00CD66AD">
        <w:rPr>
          <w:rFonts w:ascii="Verdana" w:hAnsi="Verdana"/>
          <w:sz w:val="21"/>
          <w:szCs w:val="21"/>
        </w:rPr>
        <w:t xml:space="preserve">impostazione metodologica di ANAC, </w:t>
      </w:r>
      <w:r w:rsidR="00FF760E" w:rsidRPr="00CD66AD">
        <w:rPr>
          <w:rFonts w:ascii="Verdana" w:hAnsi="Verdana"/>
          <w:sz w:val="21"/>
          <w:szCs w:val="21"/>
        </w:rPr>
        <w:t xml:space="preserve">con l’obiettivo di snellire al massimo la parte descrittiva. </w:t>
      </w:r>
    </w:p>
    <w:p w14:paraId="049F9DD1" w14:textId="77777777" w:rsidR="00DC28D5" w:rsidRPr="00CD66AD" w:rsidRDefault="00DC28D5">
      <w:pPr>
        <w:autoSpaceDE w:val="0"/>
        <w:spacing w:after="0" w:line="240" w:lineRule="auto"/>
        <w:jc w:val="both"/>
        <w:rPr>
          <w:rFonts w:ascii="Verdana" w:hAnsi="Verdana"/>
          <w:sz w:val="21"/>
          <w:szCs w:val="21"/>
        </w:rPr>
      </w:pPr>
    </w:p>
    <w:p w14:paraId="7A7616DD" w14:textId="77777777" w:rsidR="00573A70" w:rsidRPr="00CD66AD" w:rsidRDefault="00DC28D5">
      <w:pPr>
        <w:shd w:val="clear" w:color="auto" w:fill="FFFFFF"/>
        <w:spacing w:after="150" w:line="240" w:lineRule="auto"/>
        <w:contextualSpacing/>
        <w:jc w:val="both"/>
        <w:rPr>
          <w:rFonts w:ascii="Verdana" w:hAnsi="Verdana"/>
          <w:bCs/>
          <w:sz w:val="21"/>
          <w:szCs w:val="21"/>
          <w:lang w:eastAsia="it-IT"/>
        </w:rPr>
      </w:pPr>
      <w:r w:rsidRPr="00CD66AD">
        <w:rPr>
          <w:rFonts w:ascii="Verdana" w:hAnsi="Verdana"/>
          <w:bCs/>
          <w:sz w:val="21"/>
          <w:szCs w:val="21"/>
          <w:lang w:eastAsia="it-IT"/>
        </w:rPr>
        <w:t xml:space="preserve">ANAC prevede che la redazione del PTPCT sia un adempimento collettivo inteso nel senso di favorire la piena partecipazione sia degli Organi di indirizzo </w:t>
      </w:r>
      <w:r w:rsidR="005F5AA6" w:rsidRPr="00CD66AD">
        <w:rPr>
          <w:rFonts w:ascii="Verdana" w:hAnsi="Verdana"/>
          <w:bCs/>
          <w:sz w:val="21"/>
          <w:szCs w:val="21"/>
          <w:lang w:eastAsia="it-IT"/>
        </w:rPr>
        <w:t>e</w:t>
      </w:r>
      <w:r w:rsidRPr="00CD66AD">
        <w:rPr>
          <w:rFonts w:ascii="Verdana" w:hAnsi="Verdana"/>
          <w:bCs/>
          <w:sz w:val="21"/>
          <w:szCs w:val="21"/>
          <w:lang w:eastAsia="it-IT"/>
        </w:rPr>
        <w:t xml:space="preserve"> di controllo, sia dei Responsabili delle diverse funzioni/aree/dipartimenti ecc.</w:t>
      </w:r>
    </w:p>
    <w:p w14:paraId="1F58287A" w14:textId="77777777" w:rsidR="00DC28D5" w:rsidRPr="00CD66AD" w:rsidRDefault="00DC28D5">
      <w:pPr>
        <w:shd w:val="clear" w:color="auto" w:fill="FFFFFF"/>
        <w:spacing w:after="150" w:line="240" w:lineRule="auto"/>
        <w:contextualSpacing/>
        <w:jc w:val="both"/>
        <w:rPr>
          <w:rFonts w:ascii="Verdana" w:hAnsi="Verdana"/>
          <w:sz w:val="21"/>
          <w:szCs w:val="21"/>
        </w:rPr>
      </w:pPr>
      <w:r w:rsidRPr="00CD66AD">
        <w:rPr>
          <w:rFonts w:ascii="Verdana" w:hAnsi="Verdana"/>
          <w:bCs/>
          <w:sz w:val="21"/>
          <w:szCs w:val="21"/>
          <w:lang w:eastAsia="it-IT"/>
        </w:rPr>
        <w:t xml:space="preserve"> </w:t>
      </w:r>
    </w:p>
    <w:p w14:paraId="1415A478" w14:textId="77777777" w:rsidR="008C2C46" w:rsidRPr="00CD66AD" w:rsidRDefault="00DC28D5" w:rsidP="008C2C46">
      <w:pPr>
        <w:shd w:val="clear" w:color="auto" w:fill="FFFFFF"/>
        <w:spacing w:after="150" w:line="240" w:lineRule="auto"/>
        <w:contextualSpacing/>
        <w:jc w:val="both"/>
        <w:rPr>
          <w:rFonts w:ascii="Verdana" w:hAnsi="Verdana"/>
          <w:bCs/>
          <w:sz w:val="21"/>
          <w:szCs w:val="21"/>
          <w:lang w:eastAsia="it-IT"/>
        </w:rPr>
      </w:pPr>
      <w:r w:rsidRPr="00CD66AD">
        <w:rPr>
          <w:rFonts w:ascii="Verdana" w:hAnsi="Verdana"/>
          <w:bCs/>
          <w:sz w:val="21"/>
          <w:szCs w:val="21"/>
          <w:lang w:eastAsia="it-IT"/>
        </w:rPr>
        <w:t>Per la predisposizione e l’adozione del</w:t>
      </w:r>
      <w:r w:rsidR="008C2C46" w:rsidRPr="00CD66AD">
        <w:rPr>
          <w:rFonts w:ascii="Verdana" w:hAnsi="Verdana"/>
          <w:bCs/>
          <w:sz w:val="21"/>
          <w:szCs w:val="21"/>
          <w:lang w:eastAsia="it-IT"/>
        </w:rPr>
        <w:t xml:space="preserve"> presente </w:t>
      </w:r>
      <w:r w:rsidRPr="00CD66AD">
        <w:rPr>
          <w:rFonts w:ascii="Verdana" w:hAnsi="Verdana"/>
          <w:bCs/>
          <w:sz w:val="21"/>
          <w:szCs w:val="21"/>
          <w:lang w:eastAsia="it-IT"/>
        </w:rPr>
        <w:t xml:space="preserve">Piano sono stati coinvolti: </w:t>
      </w:r>
    </w:p>
    <w:p w14:paraId="1D534266" w14:textId="79A9B20B" w:rsidR="008C2C46" w:rsidRPr="00AA245B" w:rsidRDefault="008C2C46" w:rsidP="00327D29">
      <w:pPr>
        <w:numPr>
          <w:ilvl w:val="0"/>
          <w:numId w:val="3"/>
        </w:numPr>
        <w:shd w:val="clear" w:color="auto" w:fill="FFFFFF"/>
        <w:spacing w:after="150" w:line="240" w:lineRule="auto"/>
        <w:ind w:left="426"/>
        <w:contextualSpacing/>
        <w:jc w:val="both"/>
        <w:rPr>
          <w:rFonts w:ascii="Verdana" w:hAnsi="Verdana"/>
          <w:sz w:val="21"/>
          <w:szCs w:val="21"/>
        </w:rPr>
      </w:pPr>
      <w:r w:rsidRPr="00CD66AD">
        <w:rPr>
          <w:rFonts w:ascii="Verdana" w:hAnsi="Verdana"/>
          <w:bCs/>
          <w:sz w:val="21"/>
          <w:szCs w:val="21"/>
          <w:lang w:eastAsia="it-IT"/>
        </w:rPr>
        <w:t>l’organo di indirizzo</w:t>
      </w:r>
      <w:r w:rsidR="005620CF" w:rsidRPr="00CD66AD">
        <w:rPr>
          <w:rFonts w:ascii="Verdana" w:hAnsi="Verdana"/>
          <w:bCs/>
          <w:sz w:val="21"/>
          <w:szCs w:val="21"/>
          <w:lang w:eastAsia="it-IT"/>
        </w:rPr>
        <w:t>,</w:t>
      </w:r>
      <w:r w:rsidRPr="00CD66AD">
        <w:rPr>
          <w:rFonts w:ascii="Verdana" w:hAnsi="Verdana"/>
          <w:bCs/>
          <w:sz w:val="21"/>
          <w:szCs w:val="21"/>
          <w:lang w:eastAsia="it-IT"/>
        </w:rPr>
        <w:t xml:space="preserve"> inteso qui nell’accezione più ampia del termine (Consiglio di Amministrazione e </w:t>
      </w:r>
      <w:r w:rsidR="00F87CE8" w:rsidRPr="00CD66AD">
        <w:rPr>
          <w:rFonts w:ascii="Verdana" w:hAnsi="Verdana"/>
          <w:bCs/>
          <w:sz w:val="21"/>
          <w:szCs w:val="21"/>
          <w:lang w:eastAsia="it-IT"/>
        </w:rPr>
        <w:t>Commissario Straordinario</w:t>
      </w:r>
      <w:r w:rsidRPr="00CD66AD">
        <w:rPr>
          <w:rFonts w:ascii="Verdana" w:hAnsi="Verdana"/>
          <w:bCs/>
          <w:sz w:val="21"/>
          <w:szCs w:val="21"/>
          <w:lang w:eastAsia="it-IT"/>
        </w:rPr>
        <w:t>) di</w:t>
      </w:r>
      <w:r w:rsidRPr="00AA245B">
        <w:rPr>
          <w:rFonts w:ascii="Verdana" w:hAnsi="Verdana"/>
          <w:bCs/>
          <w:sz w:val="21"/>
          <w:szCs w:val="21"/>
          <w:lang w:eastAsia="it-IT"/>
        </w:rPr>
        <w:t xml:space="preserve"> MRI, che ha condiviso sin dall’inizio gli obiettivi strategici, le principali misure da attuare e l’impostazione operativa del Piano adottata dal RPCT, fornendo suggerimenti e indicazioni utili al migliore adempimento</w:t>
      </w:r>
      <w:r w:rsidR="00DC28D5" w:rsidRPr="00AA245B">
        <w:rPr>
          <w:rFonts w:ascii="Verdana" w:hAnsi="Verdana"/>
          <w:bCs/>
          <w:sz w:val="21"/>
          <w:szCs w:val="21"/>
          <w:lang w:eastAsia="it-IT"/>
        </w:rPr>
        <w:t xml:space="preserve">; </w:t>
      </w:r>
    </w:p>
    <w:p w14:paraId="1E26FC61" w14:textId="77777777" w:rsidR="008C2C46" w:rsidRPr="00AA245B" w:rsidRDefault="00D01744" w:rsidP="00327D29">
      <w:pPr>
        <w:numPr>
          <w:ilvl w:val="0"/>
          <w:numId w:val="3"/>
        </w:numPr>
        <w:shd w:val="clear" w:color="auto" w:fill="FFFFFF"/>
        <w:spacing w:after="150" w:line="240" w:lineRule="auto"/>
        <w:ind w:left="426"/>
        <w:contextualSpacing/>
        <w:jc w:val="both"/>
        <w:rPr>
          <w:rFonts w:ascii="Verdana" w:hAnsi="Verdana"/>
          <w:sz w:val="21"/>
          <w:szCs w:val="21"/>
        </w:rPr>
      </w:pPr>
      <w:r w:rsidRPr="00641598">
        <w:rPr>
          <w:rFonts w:ascii="Verdana" w:hAnsi="Verdana"/>
          <w:bCs/>
          <w:sz w:val="21"/>
          <w:szCs w:val="21"/>
          <w:lang w:eastAsia="it-IT"/>
        </w:rPr>
        <w:t>il Presidente del</w:t>
      </w:r>
      <w:r w:rsidR="00DC28D5" w:rsidRPr="00641598">
        <w:rPr>
          <w:rFonts w:ascii="Verdana" w:hAnsi="Verdana"/>
          <w:bCs/>
          <w:sz w:val="21"/>
          <w:szCs w:val="21"/>
          <w:lang w:eastAsia="it-IT"/>
        </w:rPr>
        <w:t>l’Organismo</w:t>
      </w:r>
      <w:r w:rsidR="00DC28D5" w:rsidRPr="00AA245B">
        <w:rPr>
          <w:rFonts w:ascii="Verdana" w:hAnsi="Verdana"/>
          <w:bCs/>
          <w:sz w:val="21"/>
          <w:szCs w:val="21"/>
          <w:lang w:eastAsia="it-IT"/>
        </w:rPr>
        <w:t xml:space="preserve"> di Valutazione Aziendale per verificare la congruità dei contenuti e delle proposte</w:t>
      </w:r>
      <w:r w:rsidR="005620CF" w:rsidRPr="00AA245B">
        <w:rPr>
          <w:rFonts w:ascii="Verdana" w:hAnsi="Verdana"/>
          <w:bCs/>
          <w:sz w:val="21"/>
          <w:szCs w:val="21"/>
          <w:lang w:eastAsia="it-IT"/>
        </w:rPr>
        <w:t>;</w:t>
      </w:r>
    </w:p>
    <w:p w14:paraId="58ACC6FD" w14:textId="77777777" w:rsidR="008C2C46" w:rsidRPr="00AA245B" w:rsidRDefault="00DC28D5" w:rsidP="00327D29">
      <w:pPr>
        <w:numPr>
          <w:ilvl w:val="0"/>
          <w:numId w:val="3"/>
        </w:numPr>
        <w:shd w:val="clear" w:color="auto" w:fill="FFFFFF"/>
        <w:spacing w:after="150" w:line="240" w:lineRule="auto"/>
        <w:ind w:left="426"/>
        <w:contextualSpacing/>
        <w:jc w:val="both"/>
        <w:rPr>
          <w:rFonts w:ascii="Verdana" w:hAnsi="Verdana"/>
          <w:sz w:val="21"/>
          <w:szCs w:val="21"/>
        </w:rPr>
      </w:pPr>
      <w:r w:rsidRPr="00AA245B">
        <w:rPr>
          <w:rFonts w:ascii="Verdana" w:hAnsi="Verdana"/>
          <w:bCs/>
          <w:sz w:val="21"/>
          <w:szCs w:val="21"/>
          <w:lang w:eastAsia="it-IT"/>
        </w:rPr>
        <w:t xml:space="preserve">i responsabili </w:t>
      </w:r>
      <w:r w:rsidR="002656CB">
        <w:rPr>
          <w:rFonts w:ascii="Verdana" w:hAnsi="Verdana"/>
          <w:bCs/>
          <w:sz w:val="21"/>
          <w:szCs w:val="21"/>
          <w:lang w:eastAsia="it-IT"/>
        </w:rPr>
        <w:t>dei Servizi</w:t>
      </w:r>
      <w:r w:rsidRPr="00AA245B">
        <w:rPr>
          <w:rFonts w:ascii="Verdana" w:hAnsi="Verdana"/>
          <w:bCs/>
          <w:sz w:val="21"/>
          <w:szCs w:val="21"/>
          <w:lang w:eastAsia="it-IT"/>
        </w:rPr>
        <w:t xml:space="preserve"> dell’area tecnico-amministrativa per approfondire specifici argomenti e individuare le soluzioni più opportune da adottare;</w:t>
      </w:r>
    </w:p>
    <w:p w14:paraId="775AC920" w14:textId="77777777" w:rsidR="00DC28D5" w:rsidRPr="008872F3" w:rsidRDefault="00DC28D5" w:rsidP="00327D29">
      <w:pPr>
        <w:numPr>
          <w:ilvl w:val="0"/>
          <w:numId w:val="3"/>
        </w:numPr>
        <w:shd w:val="clear" w:color="auto" w:fill="FFFFFF"/>
        <w:spacing w:after="150" w:line="240" w:lineRule="auto"/>
        <w:ind w:left="426"/>
        <w:contextualSpacing/>
        <w:jc w:val="both"/>
        <w:rPr>
          <w:rFonts w:ascii="Verdana" w:hAnsi="Verdana"/>
          <w:sz w:val="21"/>
          <w:szCs w:val="21"/>
        </w:rPr>
      </w:pPr>
      <w:r w:rsidRPr="00AA245B">
        <w:rPr>
          <w:rFonts w:ascii="Verdana" w:hAnsi="Verdana"/>
          <w:bCs/>
          <w:sz w:val="21"/>
          <w:szCs w:val="21"/>
          <w:lang w:eastAsia="it-IT"/>
        </w:rPr>
        <w:t xml:space="preserve">il gruppo di supporto all’RPCT che ha fornito indicazioni per l’implementazione del piano; </w:t>
      </w:r>
    </w:p>
    <w:p w14:paraId="70E2BC12" w14:textId="77777777" w:rsidR="008872F3" w:rsidRPr="00175C33" w:rsidRDefault="008872F3" w:rsidP="00327D29">
      <w:pPr>
        <w:numPr>
          <w:ilvl w:val="0"/>
          <w:numId w:val="3"/>
        </w:numPr>
        <w:shd w:val="clear" w:color="auto" w:fill="FFFFFF"/>
        <w:spacing w:after="150" w:line="240" w:lineRule="auto"/>
        <w:ind w:left="426"/>
        <w:contextualSpacing/>
        <w:jc w:val="both"/>
        <w:rPr>
          <w:rFonts w:ascii="Verdana" w:hAnsi="Verdana"/>
          <w:sz w:val="21"/>
          <w:szCs w:val="21"/>
        </w:rPr>
      </w:pPr>
      <w:r w:rsidRPr="00175C33">
        <w:rPr>
          <w:rFonts w:ascii="Verdana" w:hAnsi="Verdana"/>
          <w:bCs/>
          <w:sz w:val="21"/>
          <w:szCs w:val="21"/>
          <w:lang w:eastAsia="it-IT"/>
        </w:rPr>
        <w:t>il Comitato Consultivo Misto, organo rappresentativo degli stakeholders dell’Ospedale</w:t>
      </w:r>
      <w:r w:rsidR="008D067E" w:rsidRPr="00175C33">
        <w:rPr>
          <w:rStyle w:val="Rimandonotaapidipagina"/>
          <w:rFonts w:ascii="Verdana" w:hAnsi="Verdana"/>
          <w:bCs/>
          <w:sz w:val="21"/>
          <w:szCs w:val="21"/>
          <w:lang w:eastAsia="it-IT"/>
        </w:rPr>
        <w:footnoteReference w:id="2"/>
      </w:r>
      <w:r w:rsidRPr="00175C33">
        <w:rPr>
          <w:rFonts w:ascii="Verdana" w:hAnsi="Verdana"/>
          <w:bCs/>
          <w:sz w:val="21"/>
          <w:szCs w:val="21"/>
          <w:lang w:eastAsia="it-IT"/>
        </w:rPr>
        <w:t>, al quale</w:t>
      </w:r>
      <w:r w:rsidR="000452F2" w:rsidRPr="00175C33">
        <w:rPr>
          <w:rFonts w:ascii="Verdana" w:hAnsi="Verdana"/>
          <w:bCs/>
          <w:sz w:val="21"/>
          <w:szCs w:val="21"/>
          <w:lang w:eastAsia="it-IT"/>
        </w:rPr>
        <w:t xml:space="preserve"> ogni anno vengono</w:t>
      </w:r>
      <w:r w:rsidRPr="00175C33">
        <w:rPr>
          <w:rFonts w:ascii="Verdana" w:hAnsi="Verdana"/>
          <w:bCs/>
          <w:sz w:val="21"/>
          <w:szCs w:val="21"/>
          <w:lang w:eastAsia="it-IT"/>
        </w:rPr>
        <w:t xml:space="preserve"> </w:t>
      </w:r>
      <w:r w:rsidR="00F65A99" w:rsidRPr="00175C33">
        <w:rPr>
          <w:rFonts w:ascii="Verdana" w:hAnsi="Verdana"/>
          <w:bCs/>
          <w:sz w:val="21"/>
          <w:szCs w:val="21"/>
          <w:lang w:eastAsia="it-IT"/>
        </w:rPr>
        <w:t>illustrati</w:t>
      </w:r>
      <w:r w:rsidRPr="00175C33">
        <w:rPr>
          <w:rFonts w:ascii="Verdana" w:hAnsi="Verdana"/>
          <w:bCs/>
          <w:sz w:val="21"/>
          <w:szCs w:val="21"/>
          <w:lang w:eastAsia="it-IT"/>
        </w:rPr>
        <w:t xml:space="preserve"> </w:t>
      </w:r>
      <w:r w:rsidR="00F65A99" w:rsidRPr="00175C33">
        <w:rPr>
          <w:rFonts w:ascii="Verdana" w:hAnsi="Verdana"/>
          <w:bCs/>
          <w:sz w:val="21"/>
          <w:szCs w:val="21"/>
          <w:lang w:eastAsia="it-IT"/>
        </w:rPr>
        <w:t xml:space="preserve">i </w:t>
      </w:r>
      <w:r w:rsidR="000452F2" w:rsidRPr="00175C33">
        <w:rPr>
          <w:rFonts w:ascii="Verdana" w:hAnsi="Verdana"/>
          <w:bCs/>
          <w:sz w:val="21"/>
          <w:szCs w:val="21"/>
          <w:lang w:eastAsia="it-IT"/>
        </w:rPr>
        <w:t>contenuti de</w:t>
      </w:r>
      <w:r w:rsidR="000850D7">
        <w:rPr>
          <w:rFonts w:ascii="Verdana" w:hAnsi="Verdana"/>
          <w:bCs/>
          <w:sz w:val="21"/>
          <w:szCs w:val="21"/>
          <w:lang w:eastAsia="it-IT"/>
        </w:rPr>
        <w:t>l</w:t>
      </w:r>
      <w:r w:rsidR="000452F2" w:rsidRPr="00175C33">
        <w:rPr>
          <w:rFonts w:ascii="Verdana" w:hAnsi="Verdana"/>
          <w:bCs/>
          <w:sz w:val="21"/>
          <w:szCs w:val="21"/>
          <w:lang w:eastAsia="it-IT"/>
        </w:rPr>
        <w:t xml:space="preserve"> </w:t>
      </w:r>
      <w:r w:rsidR="00F65A99" w:rsidRPr="00175C33">
        <w:rPr>
          <w:rFonts w:ascii="Verdana" w:hAnsi="Verdana"/>
          <w:bCs/>
          <w:sz w:val="21"/>
          <w:szCs w:val="21"/>
          <w:lang w:eastAsia="it-IT"/>
        </w:rPr>
        <w:t>pian</w:t>
      </w:r>
      <w:r w:rsidR="000850D7">
        <w:rPr>
          <w:rFonts w:ascii="Verdana" w:hAnsi="Verdana"/>
          <w:bCs/>
          <w:sz w:val="21"/>
          <w:szCs w:val="21"/>
          <w:lang w:eastAsia="it-IT"/>
        </w:rPr>
        <w:t>o</w:t>
      </w:r>
      <w:r w:rsidR="00F65A99" w:rsidRPr="00175C33">
        <w:rPr>
          <w:rFonts w:ascii="Verdana" w:hAnsi="Verdana"/>
          <w:bCs/>
          <w:sz w:val="21"/>
          <w:szCs w:val="21"/>
          <w:lang w:eastAsia="it-IT"/>
        </w:rPr>
        <w:t xml:space="preserve"> per raccogliere eventuali suggerimenti ed osservazioni utili, dando seguito alla misura di consultazione e sensibilizzazione pubblica</w:t>
      </w:r>
      <w:r w:rsidR="003E5C33" w:rsidRPr="00175C33">
        <w:rPr>
          <w:rFonts w:ascii="Verdana" w:hAnsi="Verdana"/>
          <w:bCs/>
          <w:sz w:val="21"/>
          <w:szCs w:val="21"/>
          <w:lang w:eastAsia="it-IT"/>
        </w:rPr>
        <w:t>.</w:t>
      </w:r>
    </w:p>
    <w:p w14:paraId="4555EAA9" w14:textId="77777777" w:rsidR="008C2C46" w:rsidRPr="00AA245B" w:rsidRDefault="008C2C46" w:rsidP="008C2C46">
      <w:pPr>
        <w:shd w:val="clear" w:color="auto" w:fill="FFFFFF"/>
        <w:spacing w:after="150" w:line="240" w:lineRule="auto"/>
        <w:contextualSpacing/>
        <w:jc w:val="both"/>
        <w:rPr>
          <w:rFonts w:ascii="Verdana" w:hAnsi="Verdana"/>
          <w:bCs/>
          <w:sz w:val="21"/>
          <w:szCs w:val="21"/>
          <w:lang w:eastAsia="it-IT"/>
        </w:rPr>
      </w:pPr>
    </w:p>
    <w:p w14:paraId="0C18336F" w14:textId="77777777" w:rsidR="009E1F00" w:rsidRDefault="0093362D" w:rsidP="008C2C46">
      <w:pPr>
        <w:shd w:val="clear" w:color="auto" w:fill="FFFFFF"/>
        <w:spacing w:after="150" w:line="240" w:lineRule="auto"/>
        <w:contextualSpacing/>
        <w:jc w:val="both"/>
        <w:rPr>
          <w:rFonts w:ascii="Verdana" w:hAnsi="Verdana"/>
          <w:bCs/>
          <w:sz w:val="21"/>
          <w:szCs w:val="21"/>
          <w:lang w:eastAsia="it-IT"/>
        </w:rPr>
      </w:pPr>
      <w:r w:rsidRPr="000318FC">
        <w:rPr>
          <w:rFonts w:ascii="Verdana" w:hAnsi="Verdana"/>
          <w:bCs/>
          <w:sz w:val="21"/>
          <w:szCs w:val="21"/>
          <w:lang w:eastAsia="it-IT"/>
        </w:rPr>
        <w:t xml:space="preserve">La versione in bozza del presente piano è stata inviata all’Organismo di Vigilanza </w:t>
      </w:r>
      <w:r w:rsidR="00AE11C3" w:rsidRPr="000318FC">
        <w:rPr>
          <w:rFonts w:ascii="Verdana" w:hAnsi="Verdana"/>
          <w:bCs/>
          <w:sz w:val="21"/>
          <w:szCs w:val="21"/>
          <w:lang w:eastAsia="it-IT"/>
        </w:rPr>
        <w:t xml:space="preserve">ai sensi del D.Lgs. </w:t>
      </w:r>
      <w:r w:rsidRPr="000318FC">
        <w:rPr>
          <w:rFonts w:ascii="Verdana" w:hAnsi="Verdana"/>
          <w:bCs/>
          <w:sz w:val="21"/>
          <w:szCs w:val="21"/>
          <w:lang w:eastAsia="it-IT"/>
        </w:rPr>
        <w:t>231</w:t>
      </w:r>
      <w:r w:rsidR="00AE11C3" w:rsidRPr="000318FC">
        <w:rPr>
          <w:rFonts w:ascii="Verdana" w:hAnsi="Verdana"/>
          <w:bCs/>
          <w:sz w:val="21"/>
          <w:szCs w:val="21"/>
          <w:lang w:eastAsia="it-IT"/>
        </w:rPr>
        <w:t>/2001</w:t>
      </w:r>
      <w:r w:rsidRPr="000318FC">
        <w:rPr>
          <w:rFonts w:ascii="Verdana" w:hAnsi="Verdana"/>
          <w:bCs/>
          <w:sz w:val="21"/>
          <w:szCs w:val="21"/>
          <w:lang w:eastAsia="it-IT"/>
        </w:rPr>
        <w:t>.</w:t>
      </w:r>
      <w:r w:rsidRPr="00AA245B">
        <w:rPr>
          <w:rFonts w:ascii="Verdana" w:hAnsi="Verdana"/>
          <w:bCs/>
          <w:sz w:val="21"/>
          <w:szCs w:val="21"/>
          <w:lang w:eastAsia="it-IT"/>
        </w:rPr>
        <w:t xml:space="preserve"> </w:t>
      </w:r>
      <w:r w:rsidR="003921FB" w:rsidRPr="00AA245B">
        <w:rPr>
          <w:rFonts w:ascii="Verdana" w:hAnsi="Verdana"/>
          <w:bCs/>
          <w:sz w:val="21"/>
          <w:szCs w:val="21"/>
          <w:lang w:eastAsia="it-IT"/>
        </w:rPr>
        <w:t xml:space="preserve"> </w:t>
      </w:r>
    </w:p>
    <w:p w14:paraId="38DC18DC" w14:textId="77777777" w:rsidR="002A0315" w:rsidRDefault="002A0315" w:rsidP="003D19F9">
      <w:pPr>
        <w:pStyle w:val="Titolo1"/>
        <w:numPr>
          <w:ilvl w:val="0"/>
          <w:numId w:val="0"/>
        </w:numPr>
        <w:spacing w:line="276" w:lineRule="auto"/>
        <w:rPr>
          <w:rFonts w:cs="Times New Roman"/>
          <w:lang w:eastAsia="it-IT"/>
        </w:rPr>
      </w:pPr>
    </w:p>
    <w:p w14:paraId="6EB29320" w14:textId="77777777" w:rsidR="003D19F9" w:rsidRPr="003D19F9" w:rsidRDefault="00DC28D5" w:rsidP="003D19F9">
      <w:pPr>
        <w:pStyle w:val="Titolo1"/>
        <w:numPr>
          <w:ilvl w:val="0"/>
          <w:numId w:val="0"/>
        </w:numPr>
        <w:spacing w:line="276" w:lineRule="auto"/>
        <w:rPr>
          <w:rFonts w:cs="Times New Roman"/>
          <w:lang w:val="it-IT" w:eastAsia="it-IT"/>
        </w:rPr>
      </w:pPr>
      <w:bookmarkStart w:id="2" w:name="_Toc225863524"/>
      <w:r w:rsidRPr="0009315F">
        <w:rPr>
          <w:rFonts w:cs="Times New Roman"/>
          <w:lang w:eastAsia="it-IT"/>
        </w:rPr>
        <w:t>C. SISTEMA DI GOVERNANCE</w:t>
      </w:r>
      <w:bookmarkEnd w:id="2"/>
    </w:p>
    <w:p w14:paraId="53C31F58" w14:textId="77777777" w:rsidR="00DC28D5" w:rsidRDefault="00DC28D5" w:rsidP="002E1494">
      <w:pPr>
        <w:spacing w:after="0" w:line="240" w:lineRule="auto"/>
        <w:jc w:val="both"/>
        <w:rPr>
          <w:rFonts w:ascii="Verdana" w:hAnsi="Verdana"/>
          <w:sz w:val="21"/>
          <w:szCs w:val="21"/>
          <w:lang w:eastAsia="it-IT"/>
        </w:rPr>
      </w:pPr>
      <w:r w:rsidRPr="00C57446">
        <w:rPr>
          <w:rFonts w:ascii="Verdana" w:hAnsi="Verdana"/>
          <w:sz w:val="21"/>
          <w:szCs w:val="21"/>
          <w:lang w:eastAsia="it-IT"/>
        </w:rPr>
        <w:t xml:space="preserve">L’efficacia del sistema di prevenzione dei rischi corruttivi è strettamente connessa al contributo attivo di una molteplicità di </w:t>
      </w:r>
      <w:r w:rsidRPr="00CD66AD">
        <w:rPr>
          <w:rFonts w:ascii="Verdana" w:hAnsi="Verdana"/>
          <w:sz w:val="21"/>
          <w:szCs w:val="21"/>
          <w:lang w:eastAsia="it-IT"/>
        </w:rPr>
        <w:t>attori che operano all’interno dell’organizzazione ai quali la normativa assegna i principali compiti</w:t>
      </w:r>
      <w:r w:rsidR="005E2DEF" w:rsidRPr="00CD66AD">
        <w:rPr>
          <w:rFonts w:ascii="Verdana" w:hAnsi="Verdana"/>
          <w:sz w:val="21"/>
          <w:szCs w:val="21"/>
          <w:lang w:eastAsia="it-IT"/>
        </w:rPr>
        <w:t xml:space="preserve"> di seguito sintetizzati</w:t>
      </w:r>
      <w:r w:rsidRPr="00CD66AD">
        <w:rPr>
          <w:rFonts w:ascii="Verdana" w:hAnsi="Verdana"/>
          <w:sz w:val="21"/>
          <w:szCs w:val="21"/>
          <w:lang w:eastAsia="it-IT"/>
        </w:rPr>
        <w:t>.</w:t>
      </w:r>
    </w:p>
    <w:p w14:paraId="7F966262" w14:textId="77777777" w:rsidR="00CC39DF" w:rsidRDefault="00CC39DF" w:rsidP="002E1494">
      <w:pPr>
        <w:spacing w:after="0" w:line="240" w:lineRule="auto"/>
        <w:jc w:val="both"/>
        <w:rPr>
          <w:rFonts w:ascii="Verdana" w:hAnsi="Verdana"/>
          <w:color w:val="FF0000"/>
          <w:sz w:val="21"/>
          <w:szCs w:val="21"/>
          <w:lang w:eastAsia="it-IT"/>
        </w:rPr>
      </w:pPr>
    </w:p>
    <w:p w14:paraId="47494DA0" w14:textId="77777777" w:rsidR="00DC28D5" w:rsidRDefault="00DC28D5">
      <w:pPr>
        <w:jc w:val="both"/>
        <w:rPr>
          <w:rFonts w:ascii="Verdana" w:hAnsi="Verdana"/>
          <w:sz w:val="21"/>
          <w:szCs w:val="21"/>
          <w:lang w:eastAsia="it-IT"/>
        </w:rPr>
      </w:pPr>
      <w:r w:rsidRPr="005E2DEF">
        <w:rPr>
          <w:rFonts w:ascii="Verdana" w:hAnsi="Verdana"/>
          <w:sz w:val="16"/>
          <w:szCs w:val="16"/>
          <w:lang w:eastAsia="it-IT"/>
        </w:rPr>
        <w:t>La figura rappresenta gli attori coinvolti nel sistema di gestione del rischio</w:t>
      </w:r>
      <w:r w:rsidRPr="00C57446">
        <w:rPr>
          <w:rFonts w:ascii="Verdana" w:hAnsi="Verdana"/>
          <w:sz w:val="21"/>
          <w:szCs w:val="21"/>
          <w:lang w:eastAsia="it-IT"/>
        </w:rPr>
        <w:t>.</w:t>
      </w:r>
    </w:p>
    <w:p w14:paraId="62056EB6" w14:textId="32F48F1E" w:rsidR="00FA6278" w:rsidRPr="00C57446" w:rsidRDefault="00FA6278">
      <w:pPr>
        <w:jc w:val="both"/>
        <w:rPr>
          <w:rFonts w:ascii="Verdana" w:hAnsi="Verdana"/>
          <w:sz w:val="21"/>
          <w:szCs w:val="21"/>
        </w:rPr>
      </w:pPr>
      <w:r>
        <w:rPr>
          <w:noProof/>
        </w:rPr>
        <w:drawing>
          <wp:inline distT="0" distB="0" distL="0" distR="0" wp14:anchorId="6B234105" wp14:editId="04773D3A">
            <wp:extent cx="6120130" cy="3442335"/>
            <wp:effectExtent l="0" t="0" r="0" b="5715"/>
            <wp:docPr id="2105042490"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42490"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120130" cy="3442335"/>
                    </a:xfrm>
                    <a:prstGeom prst="rect">
                      <a:avLst/>
                    </a:prstGeom>
                  </pic:spPr>
                </pic:pic>
              </a:graphicData>
            </a:graphic>
          </wp:inline>
        </w:drawing>
      </w:r>
    </w:p>
    <w:p w14:paraId="789B6DC7" w14:textId="77777777" w:rsidR="005E2DEF" w:rsidRPr="00CD66AD" w:rsidRDefault="005E2DEF" w:rsidP="002E1494">
      <w:pPr>
        <w:pStyle w:val="Nessunaspaziatura"/>
        <w:jc w:val="both"/>
        <w:rPr>
          <w:rFonts w:ascii="Verdana" w:hAnsi="Verdana"/>
          <w:bCs/>
          <w:sz w:val="21"/>
          <w:szCs w:val="21"/>
        </w:rPr>
      </w:pPr>
      <w:r w:rsidRPr="00CD66AD">
        <w:rPr>
          <w:rFonts w:ascii="Verdana" w:hAnsi="Verdana"/>
          <w:b/>
        </w:rPr>
        <w:t xml:space="preserve">L’ORGANO DI INDIRIZZO: </w:t>
      </w:r>
      <w:r w:rsidRPr="00CD66AD">
        <w:rPr>
          <w:rFonts w:ascii="Verdana" w:eastAsia="Calibri" w:hAnsi="Verdana" w:cs="Times New Roman"/>
          <w:bCs/>
          <w:sz w:val="21"/>
          <w:szCs w:val="21"/>
          <w:lang w:eastAsia="it-IT"/>
        </w:rPr>
        <w:t>formula indirizzi e strategie promuovendo una cultura della valutazione del rischio all’interno dell’organizzazione, incentivando l’attuazione di percorsi formativi e di sensibilizzazione relativi all’etica pubblica che coinvolgano l’intero personale. Nomina l’RPCT creando le condizioni per favorirne l’indipendenza e l’autonomia e assicura allo stesso un adeguato support</w:t>
      </w:r>
      <w:r w:rsidR="00486CB3" w:rsidRPr="00CD66AD">
        <w:rPr>
          <w:rFonts w:ascii="Verdana" w:eastAsia="Calibri" w:hAnsi="Verdana" w:cs="Times New Roman"/>
          <w:bCs/>
          <w:sz w:val="21"/>
          <w:szCs w:val="21"/>
          <w:lang w:eastAsia="it-IT"/>
        </w:rPr>
        <w:t>o di risorse e strumenti</w:t>
      </w:r>
      <w:r w:rsidR="00486CB3" w:rsidRPr="00CD66AD">
        <w:rPr>
          <w:rFonts w:ascii="Verdana" w:hAnsi="Verdana"/>
          <w:bCs/>
          <w:sz w:val="21"/>
          <w:szCs w:val="21"/>
        </w:rPr>
        <w:t>.</w:t>
      </w:r>
    </w:p>
    <w:p w14:paraId="7DCF6ABE" w14:textId="77777777" w:rsidR="00DD1938" w:rsidRPr="00CD66AD" w:rsidRDefault="00DD1938" w:rsidP="002E1494">
      <w:pPr>
        <w:pStyle w:val="Nessunaspaziatura"/>
        <w:jc w:val="both"/>
        <w:rPr>
          <w:rFonts w:ascii="Verdana" w:hAnsi="Verdana"/>
          <w:bCs/>
        </w:rPr>
      </w:pPr>
    </w:p>
    <w:p w14:paraId="193EFA2E" w14:textId="77777777" w:rsidR="005E2DEF" w:rsidRPr="00CD66AD" w:rsidRDefault="005E2DEF" w:rsidP="002E1494">
      <w:pPr>
        <w:pStyle w:val="Nessunaspaziatura"/>
        <w:rPr>
          <w:rFonts w:ascii="Verdana" w:hAnsi="Verdana"/>
          <w:bCs/>
        </w:rPr>
      </w:pPr>
    </w:p>
    <w:p w14:paraId="201073A1" w14:textId="77777777" w:rsidR="00486CB3" w:rsidRPr="00CD66AD" w:rsidRDefault="00486CB3" w:rsidP="002E1494">
      <w:pPr>
        <w:pStyle w:val="Nessunaspaziatura"/>
        <w:jc w:val="both"/>
        <w:rPr>
          <w:rFonts w:ascii="Verdana" w:eastAsia="Calibri" w:hAnsi="Verdana" w:cs="Times New Roman"/>
          <w:bCs/>
          <w:sz w:val="21"/>
          <w:szCs w:val="21"/>
          <w:lang w:eastAsia="it-IT"/>
        </w:rPr>
      </w:pPr>
      <w:r w:rsidRPr="00CD66AD">
        <w:rPr>
          <w:rFonts w:ascii="Verdana" w:hAnsi="Verdana"/>
          <w:b/>
        </w:rPr>
        <w:t xml:space="preserve">I DIRIGENTI, I RESPONSABILI E I COORDINATORI: </w:t>
      </w:r>
      <w:r w:rsidRPr="00CD66AD">
        <w:rPr>
          <w:rFonts w:ascii="Verdana" w:eastAsia="Calibri" w:hAnsi="Verdana" w:cs="Times New Roman"/>
          <w:bCs/>
          <w:sz w:val="21"/>
          <w:szCs w:val="21"/>
          <w:lang w:eastAsia="it-IT"/>
        </w:rPr>
        <w:t xml:space="preserve">partecipano attivamente al processo di gestione del rischio, coordinandosi opportunamente con il RPCT, fornendo i dati e le informazioni necessarie per realizzare l’analisi del contesto, la valutazione, il trattamento del rischio e il monitoraggio delle misure; assumono la responsabilità dell’attuazione delle misure di propria competenza programmate nel PTPCT e operano in maniera tale da creare le condizioni che consentano l’efficace attuazione delle stesse da parte </w:t>
      </w:r>
      <w:r w:rsidR="00215CA0">
        <w:rPr>
          <w:rFonts w:ascii="Verdana" w:eastAsia="Calibri" w:hAnsi="Verdana" w:cs="Times New Roman"/>
          <w:bCs/>
          <w:sz w:val="21"/>
          <w:szCs w:val="21"/>
          <w:lang w:eastAsia="it-IT"/>
        </w:rPr>
        <w:t xml:space="preserve">del </w:t>
      </w:r>
      <w:r w:rsidRPr="00CD66AD">
        <w:rPr>
          <w:rFonts w:ascii="Verdana" w:eastAsia="Calibri" w:hAnsi="Verdana" w:cs="Times New Roman"/>
          <w:bCs/>
          <w:sz w:val="21"/>
          <w:szCs w:val="21"/>
          <w:lang w:eastAsia="it-IT"/>
        </w:rPr>
        <w:t>personale</w:t>
      </w:r>
      <w:r w:rsidR="00215CA0">
        <w:rPr>
          <w:rFonts w:ascii="Verdana" w:eastAsia="Calibri" w:hAnsi="Verdana" w:cs="Times New Roman"/>
          <w:bCs/>
          <w:sz w:val="21"/>
          <w:szCs w:val="21"/>
          <w:lang w:eastAsia="it-IT"/>
        </w:rPr>
        <w:t xml:space="preserve"> </w:t>
      </w:r>
      <w:r w:rsidR="00D50913">
        <w:rPr>
          <w:rFonts w:ascii="Verdana" w:eastAsia="Calibri" w:hAnsi="Verdana" w:cs="Times New Roman"/>
          <w:bCs/>
          <w:sz w:val="21"/>
          <w:szCs w:val="21"/>
          <w:lang w:eastAsia="it-IT"/>
        </w:rPr>
        <w:t>di cui sono responsabili</w:t>
      </w:r>
      <w:r w:rsidRPr="00CD66AD">
        <w:rPr>
          <w:rFonts w:ascii="Verdana" w:eastAsia="Calibri" w:hAnsi="Verdana" w:cs="Times New Roman"/>
          <w:bCs/>
          <w:sz w:val="21"/>
          <w:szCs w:val="21"/>
          <w:lang w:eastAsia="it-IT"/>
        </w:rPr>
        <w:t xml:space="preserve">. </w:t>
      </w:r>
    </w:p>
    <w:p w14:paraId="3230B4D1" w14:textId="77777777" w:rsidR="00DD1938" w:rsidRPr="00CD66AD" w:rsidRDefault="00DD1938" w:rsidP="002E1494">
      <w:pPr>
        <w:pStyle w:val="Nessunaspaziatura"/>
        <w:jc w:val="both"/>
        <w:rPr>
          <w:rFonts w:ascii="Verdana" w:eastAsia="Calibri" w:hAnsi="Verdana" w:cs="Times New Roman"/>
          <w:bCs/>
          <w:sz w:val="21"/>
          <w:szCs w:val="21"/>
          <w:lang w:eastAsia="it-IT"/>
        </w:rPr>
      </w:pPr>
    </w:p>
    <w:p w14:paraId="11957ACA" w14:textId="77777777" w:rsidR="004729EE" w:rsidRPr="00CD66AD" w:rsidRDefault="004729EE" w:rsidP="002E1494">
      <w:pPr>
        <w:pStyle w:val="Nessunaspaziatura"/>
        <w:jc w:val="both"/>
        <w:rPr>
          <w:rFonts w:ascii="Verdana" w:eastAsia="Calibri" w:hAnsi="Verdana" w:cs="Times New Roman"/>
          <w:bCs/>
          <w:sz w:val="21"/>
          <w:szCs w:val="21"/>
          <w:lang w:eastAsia="it-IT"/>
        </w:rPr>
      </w:pPr>
    </w:p>
    <w:p w14:paraId="2E944816" w14:textId="49A32B29" w:rsidR="00FC22EB" w:rsidRPr="00CD66AD" w:rsidRDefault="004729EE" w:rsidP="002E1494">
      <w:pPr>
        <w:pStyle w:val="Nessunaspaziatura"/>
        <w:jc w:val="both"/>
        <w:rPr>
          <w:rFonts w:ascii="Verdana" w:hAnsi="Verdana"/>
          <w:bCs/>
        </w:rPr>
      </w:pPr>
      <w:r w:rsidRPr="00CD66AD">
        <w:rPr>
          <w:rFonts w:ascii="Verdana" w:hAnsi="Verdana"/>
          <w:b/>
        </w:rPr>
        <w:t xml:space="preserve">L’ORGANISMO AZIENDALE DI VALUTAZIONE (OAV): </w:t>
      </w:r>
      <w:r w:rsidRPr="00CD66AD">
        <w:rPr>
          <w:rFonts w:ascii="Verdana" w:hAnsi="Verdana"/>
          <w:bCs/>
        </w:rPr>
        <w:t>fornisce un supporto metodologico all’RPCT e agli altri attori con riferimento alla corretta attuazione del processo di gestione del rischio corruttivo (rilevazione dei processi, valutazione e trattamento dei rischi); promuove e attesta</w:t>
      </w:r>
      <w:r w:rsidR="00D70817">
        <w:rPr>
          <w:rFonts w:ascii="Verdana" w:hAnsi="Verdana"/>
          <w:bCs/>
        </w:rPr>
        <w:t xml:space="preserve"> </w:t>
      </w:r>
      <w:r w:rsidR="00D70817" w:rsidRPr="00666607">
        <w:rPr>
          <w:rFonts w:ascii="Verdana" w:hAnsi="Verdana"/>
          <w:bCs/>
        </w:rPr>
        <w:t>annualmente</w:t>
      </w:r>
      <w:r w:rsidRPr="00CD66AD">
        <w:rPr>
          <w:rFonts w:ascii="Verdana" w:hAnsi="Verdana"/>
          <w:bCs/>
        </w:rPr>
        <w:t xml:space="preserve"> l’assolvimento degli obblighi relativi alla trasparenza.</w:t>
      </w:r>
    </w:p>
    <w:p w14:paraId="099E5062" w14:textId="77777777" w:rsidR="004729EE" w:rsidRPr="00CD66AD" w:rsidRDefault="004729EE" w:rsidP="002E1494">
      <w:pPr>
        <w:pStyle w:val="Nessunaspaziatura"/>
        <w:jc w:val="both"/>
        <w:rPr>
          <w:rFonts w:ascii="Verdana" w:hAnsi="Verdana"/>
          <w:bCs/>
        </w:rPr>
      </w:pPr>
    </w:p>
    <w:p w14:paraId="197E71A8" w14:textId="1805B02A" w:rsidR="004729EE" w:rsidRPr="00DC18BA" w:rsidRDefault="004729EE" w:rsidP="002E1494">
      <w:pPr>
        <w:pStyle w:val="Nessunaspaziatura"/>
        <w:jc w:val="both"/>
        <w:rPr>
          <w:rFonts w:ascii="Verdana" w:eastAsia="Calibri" w:hAnsi="Verdana" w:cs="Times New Roman"/>
          <w:bCs/>
          <w:color w:val="EE0000"/>
          <w:sz w:val="21"/>
          <w:szCs w:val="21"/>
          <w:lang w:eastAsia="it-IT"/>
        </w:rPr>
      </w:pPr>
      <w:r w:rsidRPr="00CD66AD">
        <w:rPr>
          <w:rFonts w:ascii="Verdana" w:hAnsi="Verdana"/>
          <w:sz w:val="21"/>
          <w:szCs w:val="21"/>
        </w:rPr>
        <w:t xml:space="preserve">L’Organismo Aziendale di Valutazione è stato rinnovato dal Consiglio di Amministrazione nel corso del 2022 previo apposito avviso pubblicato sul sito. È attualmente costituito da componenti esterni all’Ospedale (Dr. Giorgio Mazzi, </w:t>
      </w:r>
      <w:r w:rsidRPr="00CD66AD">
        <w:rPr>
          <w:rFonts w:ascii="Verdana" w:hAnsi="Verdana"/>
          <w:sz w:val="21"/>
          <w:szCs w:val="21"/>
          <w:lang w:eastAsia="it-IT"/>
        </w:rPr>
        <w:t>Dr. Gianluca Mazza, Ing. Raul Ragazzoni</w:t>
      </w:r>
      <w:r w:rsidR="00A00DBB">
        <w:rPr>
          <w:rFonts w:ascii="Verdana" w:hAnsi="Verdana"/>
          <w:sz w:val="21"/>
          <w:szCs w:val="21"/>
          <w:lang w:eastAsia="it-IT"/>
        </w:rPr>
        <w:t xml:space="preserve"> con funzioni di Presidente</w:t>
      </w:r>
      <w:r w:rsidRPr="00CD66AD">
        <w:rPr>
          <w:rFonts w:ascii="Verdana" w:hAnsi="Verdana"/>
          <w:sz w:val="21"/>
          <w:szCs w:val="21"/>
        </w:rPr>
        <w:t>). L’Organismo Aziendale di Valutazione supporta l’operato della Direzione Aziendale in analogia all’OIV delle aziende sanitarie pubbliche.</w:t>
      </w:r>
      <w:r w:rsidR="002A0315">
        <w:rPr>
          <w:rFonts w:ascii="Verdana" w:hAnsi="Verdana"/>
          <w:sz w:val="21"/>
          <w:szCs w:val="21"/>
        </w:rPr>
        <w:t xml:space="preserve"> </w:t>
      </w:r>
    </w:p>
    <w:p w14:paraId="22DAFA66" w14:textId="77777777" w:rsidR="005E2DEF" w:rsidRPr="00DC18BA" w:rsidRDefault="005E2DEF" w:rsidP="0056657F">
      <w:pPr>
        <w:pStyle w:val="Nessunaspaziatura"/>
        <w:spacing w:line="276" w:lineRule="auto"/>
        <w:jc w:val="both"/>
        <w:rPr>
          <w:rFonts w:ascii="Verdana" w:hAnsi="Verdana"/>
          <w:bCs/>
          <w:color w:val="EE0000"/>
        </w:rPr>
      </w:pPr>
    </w:p>
    <w:p w14:paraId="45C4CFA8" w14:textId="77777777" w:rsidR="00DD1938" w:rsidRPr="00CD66AD" w:rsidRDefault="00DD1938" w:rsidP="0056657F">
      <w:pPr>
        <w:pStyle w:val="Nessunaspaziatura"/>
        <w:spacing w:line="276" w:lineRule="auto"/>
        <w:jc w:val="both"/>
        <w:rPr>
          <w:rFonts w:ascii="Verdana" w:hAnsi="Verdana"/>
          <w:bCs/>
        </w:rPr>
      </w:pPr>
    </w:p>
    <w:p w14:paraId="2A5F2724" w14:textId="487B667A" w:rsidR="002E1494" w:rsidRPr="00B86A33" w:rsidRDefault="002E1494" w:rsidP="004F4468">
      <w:pPr>
        <w:pStyle w:val="Nessunaspaziatura"/>
        <w:jc w:val="both"/>
        <w:rPr>
          <w:rFonts w:ascii="Verdana" w:hAnsi="Verdana"/>
          <w:bCs/>
          <w:sz w:val="21"/>
          <w:szCs w:val="21"/>
        </w:rPr>
      </w:pPr>
      <w:r w:rsidRPr="00CD66AD">
        <w:rPr>
          <w:rFonts w:ascii="Verdana" w:hAnsi="Verdana"/>
          <w:b/>
        </w:rPr>
        <w:t xml:space="preserve">L’ORGANISMO DI VIGILANZA ai sensi del </w:t>
      </w:r>
      <w:proofErr w:type="spellStart"/>
      <w:r w:rsidRPr="00CD66AD">
        <w:rPr>
          <w:rFonts w:ascii="Verdana" w:hAnsi="Verdana"/>
          <w:b/>
        </w:rPr>
        <w:t>D.Lgs.</w:t>
      </w:r>
      <w:proofErr w:type="spellEnd"/>
      <w:r w:rsidRPr="00CD66AD">
        <w:rPr>
          <w:rFonts w:ascii="Verdana" w:hAnsi="Verdana"/>
          <w:b/>
        </w:rPr>
        <w:t xml:space="preserve"> n. 231/2001 (</w:t>
      </w:r>
      <w:proofErr w:type="spellStart"/>
      <w:r w:rsidRPr="00CD66AD">
        <w:rPr>
          <w:rFonts w:ascii="Verdana" w:hAnsi="Verdana"/>
          <w:b/>
        </w:rPr>
        <w:t>OdV</w:t>
      </w:r>
      <w:proofErr w:type="spellEnd"/>
      <w:r w:rsidRPr="00CD66AD">
        <w:rPr>
          <w:rFonts w:ascii="Verdana" w:hAnsi="Verdana"/>
          <w:b/>
        </w:rPr>
        <w:t xml:space="preserve">): </w:t>
      </w:r>
      <w:r w:rsidRPr="00CD66AD">
        <w:rPr>
          <w:rFonts w:ascii="Verdana" w:hAnsi="Verdana"/>
          <w:bCs/>
          <w:sz w:val="21"/>
          <w:szCs w:val="21"/>
        </w:rPr>
        <w:t>vigila sull’effettività del M</w:t>
      </w:r>
      <w:r w:rsidR="0056657F" w:rsidRPr="00CD66AD">
        <w:rPr>
          <w:rFonts w:ascii="Verdana" w:hAnsi="Verdana"/>
          <w:bCs/>
          <w:sz w:val="21"/>
          <w:szCs w:val="21"/>
        </w:rPr>
        <w:t xml:space="preserve">odello di </w:t>
      </w:r>
      <w:r w:rsidRPr="00CD66AD">
        <w:rPr>
          <w:rFonts w:ascii="Verdana" w:hAnsi="Verdana"/>
          <w:bCs/>
          <w:sz w:val="21"/>
          <w:szCs w:val="21"/>
        </w:rPr>
        <w:t>O</w:t>
      </w:r>
      <w:r w:rsidR="0056657F" w:rsidRPr="00CD66AD">
        <w:rPr>
          <w:rFonts w:ascii="Verdana" w:hAnsi="Verdana"/>
          <w:bCs/>
          <w:sz w:val="21"/>
          <w:szCs w:val="21"/>
        </w:rPr>
        <w:t xml:space="preserve">rganizzazione e di </w:t>
      </w:r>
      <w:r w:rsidRPr="00CD66AD">
        <w:rPr>
          <w:rFonts w:ascii="Verdana" w:hAnsi="Verdana"/>
          <w:bCs/>
          <w:sz w:val="21"/>
          <w:szCs w:val="21"/>
        </w:rPr>
        <w:t>G</w:t>
      </w:r>
      <w:r w:rsidR="0056657F" w:rsidRPr="00CD66AD">
        <w:rPr>
          <w:rFonts w:ascii="Verdana" w:hAnsi="Verdana"/>
          <w:bCs/>
          <w:sz w:val="21"/>
          <w:szCs w:val="21"/>
        </w:rPr>
        <w:t>estione (MOG)</w:t>
      </w:r>
      <w:r w:rsidRPr="00CD66AD">
        <w:rPr>
          <w:rFonts w:ascii="Verdana" w:hAnsi="Verdana"/>
          <w:bCs/>
          <w:sz w:val="21"/>
          <w:szCs w:val="21"/>
        </w:rPr>
        <w:t xml:space="preserve"> verificandone periodicamente l’adeguatezza e promuovendone l’aggiornamento al Consiglio di Amministrazione nel caso in cui l’evoluzione normativa</w:t>
      </w:r>
      <w:r w:rsidR="0056657F" w:rsidRPr="00CD66AD">
        <w:rPr>
          <w:rFonts w:ascii="Verdana" w:hAnsi="Verdana"/>
          <w:bCs/>
          <w:sz w:val="21"/>
          <w:szCs w:val="21"/>
        </w:rPr>
        <w:t>, modifiche alla organizzazione interna</w:t>
      </w:r>
      <w:r w:rsidRPr="00CD66AD">
        <w:rPr>
          <w:rFonts w:ascii="Verdana" w:hAnsi="Verdana"/>
          <w:bCs/>
          <w:sz w:val="21"/>
          <w:szCs w:val="21"/>
        </w:rPr>
        <w:t xml:space="preserve"> e/o controlli operati rendano necessarie correzioni e adeguamenti</w:t>
      </w:r>
      <w:r w:rsidR="0056657F" w:rsidRPr="00CD66AD">
        <w:rPr>
          <w:rFonts w:ascii="Verdana" w:hAnsi="Verdana"/>
          <w:bCs/>
          <w:sz w:val="21"/>
          <w:szCs w:val="21"/>
        </w:rPr>
        <w:t xml:space="preserve">. </w:t>
      </w:r>
      <w:r w:rsidR="0056657F" w:rsidRPr="00CD66AD">
        <w:rPr>
          <w:rFonts w:ascii="Verdana" w:hAnsi="Verdana"/>
          <w:sz w:val="21"/>
          <w:szCs w:val="21"/>
          <w:lang w:eastAsia="it-IT"/>
        </w:rPr>
        <w:t xml:space="preserve">Promuove iniziative atte a diffondere la conoscenza </w:t>
      </w:r>
      <w:r w:rsidR="00C07695" w:rsidRPr="00B86A33">
        <w:rPr>
          <w:rFonts w:ascii="Verdana" w:hAnsi="Verdana"/>
          <w:sz w:val="21"/>
          <w:szCs w:val="21"/>
          <w:lang w:eastAsia="it-IT"/>
        </w:rPr>
        <w:t xml:space="preserve">del Modello </w:t>
      </w:r>
      <w:r w:rsidR="0056657F" w:rsidRPr="00B86A33">
        <w:rPr>
          <w:rFonts w:ascii="Verdana" w:hAnsi="Verdana"/>
          <w:sz w:val="21"/>
          <w:szCs w:val="21"/>
          <w:lang w:eastAsia="it-IT"/>
        </w:rPr>
        <w:t xml:space="preserve">tra gli organi e i dipendenti di </w:t>
      </w:r>
      <w:r w:rsidR="003D695C" w:rsidRPr="00B86A33">
        <w:rPr>
          <w:rFonts w:ascii="Verdana" w:hAnsi="Verdana"/>
          <w:sz w:val="21"/>
          <w:szCs w:val="21"/>
          <w:lang w:eastAsia="it-IT"/>
        </w:rPr>
        <w:t>MRI</w:t>
      </w:r>
      <w:r w:rsidR="0056657F" w:rsidRPr="00CD66AD">
        <w:rPr>
          <w:rFonts w:ascii="Verdana" w:hAnsi="Verdana"/>
          <w:sz w:val="21"/>
          <w:szCs w:val="21"/>
          <w:lang w:eastAsia="it-IT"/>
        </w:rPr>
        <w:t xml:space="preserve">, fornendo le istruzioni e i chiarimenti eventualmente necessari, nonché collaborando con la </w:t>
      </w:r>
      <w:r w:rsidR="0056657F" w:rsidRPr="00B86A33">
        <w:rPr>
          <w:rFonts w:ascii="Verdana" w:hAnsi="Verdana"/>
          <w:sz w:val="21"/>
          <w:szCs w:val="21"/>
          <w:lang w:eastAsia="it-IT"/>
        </w:rPr>
        <w:t>Direzione</w:t>
      </w:r>
      <w:r w:rsidR="003D695C" w:rsidRPr="00B86A33">
        <w:rPr>
          <w:rFonts w:ascii="Verdana" w:hAnsi="Verdana"/>
          <w:sz w:val="21"/>
          <w:szCs w:val="21"/>
          <w:lang w:eastAsia="it-IT"/>
        </w:rPr>
        <w:t xml:space="preserve"> Aziendale</w:t>
      </w:r>
      <w:r w:rsidR="0056657F" w:rsidRPr="00B86A33">
        <w:rPr>
          <w:rFonts w:ascii="Verdana" w:hAnsi="Verdana"/>
          <w:sz w:val="21"/>
          <w:szCs w:val="21"/>
          <w:lang w:eastAsia="it-IT"/>
        </w:rPr>
        <w:t xml:space="preserve"> alla istituzione di specifici seminari di formazione.</w:t>
      </w:r>
    </w:p>
    <w:p w14:paraId="1F6D5204" w14:textId="77777777" w:rsidR="002E1494" w:rsidRPr="00B86A33" w:rsidRDefault="002E1494" w:rsidP="004F4468">
      <w:pPr>
        <w:pStyle w:val="Nessunaspaziatura"/>
        <w:jc w:val="both"/>
        <w:rPr>
          <w:rFonts w:ascii="Verdana" w:hAnsi="Verdana"/>
          <w:sz w:val="21"/>
          <w:szCs w:val="21"/>
          <w:lang w:eastAsia="it-IT"/>
        </w:rPr>
      </w:pPr>
    </w:p>
    <w:p w14:paraId="3FF0374C" w14:textId="3FE90985" w:rsidR="009B33B8" w:rsidRPr="00B86A33" w:rsidRDefault="00C57446" w:rsidP="008D5803">
      <w:pPr>
        <w:shd w:val="clear" w:color="auto" w:fill="FFFFFF"/>
        <w:spacing w:after="0" w:line="240" w:lineRule="auto"/>
        <w:contextualSpacing/>
        <w:jc w:val="both"/>
        <w:rPr>
          <w:rFonts w:ascii="Verdana" w:hAnsi="Verdana"/>
          <w:sz w:val="21"/>
          <w:szCs w:val="21"/>
          <w:lang w:eastAsia="it-IT"/>
        </w:rPr>
      </w:pPr>
      <w:r w:rsidRPr="00CD66AD">
        <w:rPr>
          <w:rFonts w:ascii="Verdana" w:hAnsi="Verdana"/>
          <w:color w:val="000000"/>
          <w:sz w:val="21"/>
          <w:szCs w:val="21"/>
          <w:lang w:eastAsia="it-IT"/>
        </w:rPr>
        <w:t>Di particolare rilevanza per il sistema anticorruzione,</w:t>
      </w:r>
      <w:r>
        <w:rPr>
          <w:rFonts w:ascii="Verdana" w:hAnsi="Verdana"/>
          <w:color w:val="000000"/>
          <w:sz w:val="21"/>
          <w:szCs w:val="21"/>
          <w:lang w:eastAsia="it-IT"/>
        </w:rPr>
        <w:t xml:space="preserve"> n</w:t>
      </w:r>
      <w:r w:rsidR="00DC28D5" w:rsidRPr="00110BB3">
        <w:rPr>
          <w:rFonts w:ascii="Verdana" w:hAnsi="Verdana"/>
          <w:color w:val="000000"/>
          <w:sz w:val="21"/>
          <w:szCs w:val="21"/>
          <w:lang w:eastAsia="it-IT"/>
        </w:rPr>
        <w:t>e</w:t>
      </w:r>
      <w:r w:rsidR="00DC28D5" w:rsidRPr="00110BB3">
        <w:rPr>
          <w:rFonts w:ascii="Verdana" w:hAnsi="Verdana"/>
          <w:sz w:val="21"/>
          <w:szCs w:val="21"/>
          <w:lang w:eastAsia="it-IT"/>
        </w:rPr>
        <w:t>l corso del 202</w:t>
      </w:r>
      <w:r w:rsidR="003F070C" w:rsidRPr="00B86A33">
        <w:rPr>
          <w:rFonts w:ascii="Verdana" w:hAnsi="Verdana"/>
          <w:sz w:val="21"/>
          <w:szCs w:val="21"/>
          <w:lang w:eastAsia="it-IT"/>
        </w:rPr>
        <w:t>5</w:t>
      </w:r>
      <w:r w:rsidR="00DC28D5" w:rsidRPr="00110BB3">
        <w:rPr>
          <w:rFonts w:ascii="Verdana" w:hAnsi="Verdana"/>
          <w:color w:val="00B0F0"/>
          <w:sz w:val="21"/>
          <w:szCs w:val="21"/>
          <w:lang w:eastAsia="it-IT"/>
        </w:rPr>
        <w:t xml:space="preserve"> </w:t>
      </w:r>
      <w:r w:rsidR="00DC28D5" w:rsidRPr="00110BB3">
        <w:rPr>
          <w:rFonts w:ascii="Verdana" w:hAnsi="Verdana"/>
          <w:sz w:val="21"/>
          <w:szCs w:val="21"/>
          <w:lang w:eastAsia="it-IT"/>
        </w:rPr>
        <w:t>è proseguita l’attività dell’Organismo di Vigilanza (</w:t>
      </w:r>
      <w:proofErr w:type="spellStart"/>
      <w:r w:rsidR="00DC28D5" w:rsidRPr="00110BB3">
        <w:rPr>
          <w:rFonts w:ascii="Verdana" w:hAnsi="Verdana"/>
          <w:sz w:val="21"/>
          <w:szCs w:val="21"/>
          <w:lang w:eastAsia="it-IT"/>
        </w:rPr>
        <w:t>OdV</w:t>
      </w:r>
      <w:proofErr w:type="spellEnd"/>
      <w:r w:rsidR="00DC28D5" w:rsidRPr="00110BB3">
        <w:rPr>
          <w:rFonts w:ascii="Verdana" w:hAnsi="Verdana"/>
          <w:sz w:val="21"/>
          <w:szCs w:val="21"/>
          <w:lang w:eastAsia="it-IT"/>
        </w:rPr>
        <w:t xml:space="preserve">) previsto dal </w:t>
      </w:r>
      <w:proofErr w:type="spellStart"/>
      <w:r w:rsidR="00DC28D5" w:rsidRPr="00110BB3">
        <w:rPr>
          <w:rFonts w:ascii="Verdana" w:hAnsi="Verdana"/>
          <w:sz w:val="21"/>
          <w:szCs w:val="21"/>
          <w:lang w:eastAsia="it-IT"/>
        </w:rPr>
        <w:t>D.Lgs.</w:t>
      </w:r>
      <w:proofErr w:type="spellEnd"/>
      <w:r w:rsidR="00DC28D5" w:rsidRPr="00110BB3">
        <w:rPr>
          <w:rFonts w:ascii="Verdana" w:hAnsi="Verdana"/>
          <w:sz w:val="21"/>
          <w:szCs w:val="21"/>
          <w:lang w:eastAsia="it-IT"/>
        </w:rPr>
        <w:t xml:space="preserve"> n. 231/2001</w:t>
      </w:r>
      <w:r w:rsidR="0030520A" w:rsidRPr="00110BB3">
        <w:rPr>
          <w:rFonts w:ascii="Verdana" w:hAnsi="Verdana"/>
          <w:sz w:val="21"/>
          <w:szCs w:val="21"/>
          <w:lang w:eastAsia="it-IT"/>
        </w:rPr>
        <w:t xml:space="preserve"> - </w:t>
      </w:r>
      <w:r w:rsidR="00DC28D5" w:rsidRPr="00110BB3">
        <w:rPr>
          <w:rFonts w:ascii="Verdana" w:hAnsi="Verdana"/>
          <w:sz w:val="21"/>
          <w:szCs w:val="21"/>
          <w:lang w:eastAsia="it-IT"/>
        </w:rPr>
        <w:t xml:space="preserve">dal 2019 </w:t>
      </w:r>
      <w:bookmarkStart w:id="3" w:name="_Hlk92183069"/>
      <w:r w:rsidR="00DC28D5" w:rsidRPr="00110BB3">
        <w:rPr>
          <w:rFonts w:ascii="Verdana" w:hAnsi="Verdana"/>
          <w:sz w:val="21"/>
          <w:szCs w:val="21"/>
          <w:lang w:eastAsia="it-IT"/>
        </w:rPr>
        <w:t xml:space="preserve">costituito da: Dr. Girolamo Giorgio Rubini con incarico di Presidente, Avv.to Piergiorgio Weiss con incarico di componente esterno e Dr.ssa Claudia Corsolini, con incarico di </w:t>
      </w:r>
      <w:r w:rsidR="005838C2" w:rsidRPr="00110BB3">
        <w:rPr>
          <w:rFonts w:ascii="Verdana" w:hAnsi="Verdana"/>
          <w:sz w:val="21"/>
          <w:szCs w:val="21"/>
          <w:lang w:eastAsia="it-IT"/>
        </w:rPr>
        <w:t>membro</w:t>
      </w:r>
      <w:r w:rsidR="00DC28D5" w:rsidRPr="00110BB3">
        <w:rPr>
          <w:rFonts w:ascii="Verdana" w:hAnsi="Verdana"/>
          <w:sz w:val="21"/>
          <w:szCs w:val="21"/>
          <w:lang w:eastAsia="it-IT"/>
        </w:rPr>
        <w:t xml:space="preserve"> interno</w:t>
      </w:r>
      <w:r w:rsidR="006C7A65" w:rsidRPr="00110BB3">
        <w:rPr>
          <w:rFonts w:ascii="Verdana" w:hAnsi="Verdana"/>
          <w:sz w:val="21"/>
          <w:szCs w:val="21"/>
          <w:lang w:eastAsia="it-IT"/>
        </w:rPr>
        <w:t xml:space="preserve">; nella seduta </w:t>
      </w:r>
      <w:r w:rsidR="006C7A65" w:rsidRPr="00B86A33">
        <w:rPr>
          <w:rFonts w:ascii="Verdana" w:hAnsi="Verdana"/>
          <w:sz w:val="21"/>
          <w:szCs w:val="21"/>
          <w:lang w:eastAsia="it-IT"/>
        </w:rPr>
        <w:t xml:space="preserve">del </w:t>
      </w:r>
      <w:r w:rsidR="00307A43" w:rsidRPr="00B86A33">
        <w:rPr>
          <w:rFonts w:ascii="Verdana" w:hAnsi="Verdana"/>
          <w:sz w:val="21"/>
          <w:szCs w:val="21"/>
          <w:lang w:eastAsia="it-IT"/>
        </w:rPr>
        <w:t>1</w:t>
      </w:r>
      <w:r w:rsidR="002A0315" w:rsidRPr="00B86A33">
        <w:rPr>
          <w:rFonts w:ascii="Verdana" w:hAnsi="Verdana"/>
          <w:sz w:val="21"/>
          <w:szCs w:val="21"/>
          <w:lang w:eastAsia="it-IT"/>
        </w:rPr>
        <w:t>6</w:t>
      </w:r>
      <w:r w:rsidR="00F03B43" w:rsidRPr="00B86A33">
        <w:rPr>
          <w:rFonts w:ascii="Verdana" w:hAnsi="Verdana"/>
          <w:sz w:val="21"/>
          <w:szCs w:val="21"/>
          <w:lang w:eastAsia="it-IT"/>
        </w:rPr>
        <w:t xml:space="preserve"> </w:t>
      </w:r>
      <w:r w:rsidR="002A0315" w:rsidRPr="00B86A33">
        <w:rPr>
          <w:rFonts w:ascii="Verdana" w:hAnsi="Verdana"/>
          <w:sz w:val="21"/>
          <w:szCs w:val="21"/>
          <w:lang w:eastAsia="it-IT"/>
        </w:rPr>
        <w:t>dic</w:t>
      </w:r>
      <w:r w:rsidR="00307A43" w:rsidRPr="00B86A33">
        <w:rPr>
          <w:rFonts w:ascii="Verdana" w:hAnsi="Verdana"/>
          <w:sz w:val="21"/>
          <w:szCs w:val="21"/>
          <w:lang w:eastAsia="it-IT"/>
        </w:rPr>
        <w:t xml:space="preserve">embre </w:t>
      </w:r>
      <w:r w:rsidR="00F03B43" w:rsidRPr="00B86A33">
        <w:rPr>
          <w:rFonts w:ascii="Verdana" w:hAnsi="Verdana"/>
          <w:sz w:val="21"/>
          <w:szCs w:val="21"/>
          <w:lang w:eastAsia="it-IT"/>
        </w:rPr>
        <w:t>20</w:t>
      </w:r>
      <w:r w:rsidR="006C7A65" w:rsidRPr="00B86A33">
        <w:rPr>
          <w:rFonts w:ascii="Verdana" w:hAnsi="Verdana"/>
          <w:sz w:val="21"/>
          <w:szCs w:val="21"/>
          <w:lang w:eastAsia="it-IT"/>
        </w:rPr>
        <w:t>2</w:t>
      </w:r>
      <w:r w:rsidR="002A0315" w:rsidRPr="00B86A33">
        <w:rPr>
          <w:rFonts w:ascii="Verdana" w:hAnsi="Verdana"/>
          <w:sz w:val="21"/>
          <w:szCs w:val="21"/>
          <w:lang w:eastAsia="it-IT"/>
        </w:rPr>
        <w:t>5</w:t>
      </w:r>
      <w:r w:rsidR="006C7A65" w:rsidRPr="00B86A33">
        <w:rPr>
          <w:rFonts w:ascii="Verdana" w:hAnsi="Verdana"/>
          <w:sz w:val="21"/>
          <w:szCs w:val="21"/>
          <w:lang w:eastAsia="it-IT"/>
        </w:rPr>
        <w:t xml:space="preserve"> il Consiglio di Amministrazione</w:t>
      </w:r>
      <w:r w:rsidR="00F03B43" w:rsidRPr="00B86A33">
        <w:rPr>
          <w:rFonts w:ascii="Verdana" w:hAnsi="Verdana"/>
          <w:sz w:val="21"/>
          <w:szCs w:val="21"/>
          <w:lang w:eastAsia="it-IT"/>
        </w:rPr>
        <w:t xml:space="preserve"> </w:t>
      </w:r>
      <w:r w:rsidR="006C7A65" w:rsidRPr="00B86A33">
        <w:rPr>
          <w:rFonts w:ascii="Verdana" w:hAnsi="Verdana"/>
          <w:sz w:val="21"/>
          <w:szCs w:val="21"/>
          <w:lang w:eastAsia="it-IT"/>
        </w:rPr>
        <w:t xml:space="preserve">ha prorogato </w:t>
      </w:r>
      <w:r w:rsidR="00814905" w:rsidRPr="00B86A33">
        <w:rPr>
          <w:rFonts w:ascii="Verdana" w:hAnsi="Verdana"/>
          <w:sz w:val="21"/>
          <w:szCs w:val="21"/>
          <w:lang w:eastAsia="it-IT"/>
        </w:rPr>
        <w:t>il mandato</w:t>
      </w:r>
      <w:r w:rsidR="006C7A65" w:rsidRPr="00B86A33">
        <w:rPr>
          <w:rFonts w:ascii="Verdana" w:hAnsi="Verdana"/>
          <w:sz w:val="21"/>
          <w:szCs w:val="21"/>
          <w:lang w:eastAsia="it-IT"/>
        </w:rPr>
        <w:t xml:space="preserve"> dei sopracitati componenti</w:t>
      </w:r>
      <w:r w:rsidR="002A0420" w:rsidRPr="00B86A33">
        <w:rPr>
          <w:rFonts w:ascii="Verdana" w:hAnsi="Verdana"/>
          <w:sz w:val="21"/>
          <w:szCs w:val="21"/>
          <w:lang w:eastAsia="it-IT"/>
        </w:rPr>
        <w:t xml:space="preserve"> fino al</w:t>
      </w:r>
      <w:r w:rsidR="002A0315" w:rsidRPr="00B86A33">
        <w:rPr>
          <w:rFonts w:ascii="Verdana" w:hAnsi="Verdana"/>
          <w:sz w:val="21"/>
          <w:szCs w:val="21"/>
          <w:lang w:eastAsia="it-IT"/>
        </w:rPr>
        <w:t xml:space="preserve">l’approvazione del bilancio </w:t>
      </w:r>
      <w:r w:rsidR="003F070C" w:rsidRPr="00B86A33">
        <w:rPr>
          <w:rFonts w:ascii="Verdana" w:hAnsi="Verdana"/>
          <w:sz w:val="21"/>
          <w:szCs w:val="21"/>
          <w:lang w:eastAsia="it-IT"/>
        </w:rPr>
        <w:t>di esercizio al 31.12.</w:t>
      </w:r>
      <w:r w:rsidR="002A0315" w:rsidRPr="00B86A33">
        <w:rPr>
          <w:rFonts w:ascii="Verdana" w:hAnsi="Verdana"/>
          <w:sz w:val="21"/>
          <w:szCs w:val="21"/>
          <w:lang w:eastAsia="it-IT"/>
        </w:rPr>
        <w:t xml:space="preserve">2026 (scadenza del mandato dello stesso </w:t>
      </w:r>
      <w:proofErr w:type="spellStart"/>
      <w:r w:rsidR="002A0315" w:rsidRPr="00B86A33">
        <w:rPr>
          <w:rFonts w:ascii="Verdana" w:hAnsi="Verdana"/>
          <w:sz w:val="21"/>
          <w:szCs w:val="21"/>
          <w:lang w:eastAsia="it-IT"/>
        </w:rPr>
        <w:t>Cd</w:t>
      </w:r>
      <w:r w:rsidR="003F070C" w:rsidRPr="00B86A33">
        <w:rPr>
          <w:rFonts w:ascii="Verdana" w:hAnsi="Verdana"/>
          <w:sz w:val="21"/>
          <w:szCs w:val="21"/>
          <w:lang w:eastAsia="it-IT"/>
        </w:rPr>
        <w:t>A</w:t>
      </w:r>
      <w:proofErr w:type="spellEnd"/>
      <w:r w:rsidR="002A0315" w:rsidRPr="00B86A33">
        <w:rPr>
          <w:rFonts w:ascii="Verdana" w:hAnsi="Verdana"/>
          <w:sz w:val="21"/>
          <w:szCs w:val="21"/>
          <w:lang w:eastAsia="it-IT"/>
        </w:rPr>
        <w:t>).</w:t>
      </w:r>
    </w:p>
    <w:bookmarkEnd w:id="3"/>
    <w:p w14:paraId="7D864243" w14:textId="77777777" w:rsidR="004F4468" w:rsidRDefault="004F4468" w:rsidP="008D5803">
      <w:pPr>
        <w:pStyle w:val="Nessunaspaziatura"/>
        <w:jc w:val="both"/>
        <w:rPr>
          <w:rFonts w:ascii="Verdana" w:hAnsi="Verdana"/>
          <w:b/>
        </w:rPr>
      </w:pPr>
    </w:p>
    <w:p w14:paraId="22A8F482" w14:textId="77777777" w:rsidR="008D5803" w:rsidRDefault="008D5803" w:rsidP="008D5803">
      <w:pPr>
        <w:pStyle w:val="Nessunaspaziatura"/>
        <w:jc w:val="both"/>
        <w:rPr>
          <w:rFonts w:ascii="Verdana" w:hAnsi="Verdana"/>
          <w:b/>
        </w:rPr>
      </w:pPr>
    </w:p>
    <w:p w14:paraId="46B8F5EB" w14:textId="4E0AB746" w:rsidR="004F4468" w:rsidRDefault="004F4468" w:rsidP="008D5803">
      <w:pPr>
        <w:pStyle w:val="Nessunaspaziatura"/>
        <w:jc w:val="both"/>
        <w:rPr>
          <w:rFonts w:ascii="Verdana" w:hAnsi="Verdana"/>
          <w:sz w:val="21"/>
          <w:szCs w:val="21"/>
          <w:lang w:eastAsia="it-IT"/>
        </w:rPr>
      </w:pPr>
      <w:r w:rsidRPr="00776D3D">
        <w:rPr>
          <w:rFonts w:ascii="Verdana" w:hAnsi="Verdana"/>
          <w:b/>
        </w:rPr>
        <w:t>IL DPO (DATA PROTECTION OFFICER) OVVERO RPD (RESPONSABILE DELLA PROTEZIONE DEI DATI):</w:t>
      </w:r>
      <w:r>
        <w:rPr>
          <w:rFonts w:ascii="Verdana" w:hAnsi="Verdana"/>
          <w:b/>
        </w:rPr>
        <w:t xml:space="preserve"> </w:t>
      </w:r>
      <w:r w:rsidRPr="006607BD">
        <w:rPr>
          <w:rFonts w:ascii="Verdana" w:hAnsi="Verdana"/>
          <w:sz w:val="21"/>
          <w:szCs w:val="21"/>
          <w:lang w:eastAsia="it-IT"/>
        </w:rPr>
        <w:t xml:space="preserve">svolge specifici compiti, anche di supporto, per </w:t>
      </w:r>
      <w:r w:rsidRPr="002253C2">
        <w:rPr>
          <w:rFonts w:ascii="Verdana" w:hAnsi="Verdana"/>
          <w:sz w:val="21"/>
          <w:szCs w:val="21"/>
          <w:lang w:eastAsia="it-IT"/>
        </w:rPr>
        <w:t xml:space="preserve">tutta la </w:t>
      </w:r>
      <w:r w:rsidR="00214097" w:rsidRPr="002253C2">
        <w:rPr>
          <w:rFonts w:ascii="Verdana" w:hAnsi="Verdana"/>
          <w:sz w:val="21"/>
          <w:szCs w:val="21"/>
          <w:lang w:eastAsia="it-IT"/>
        </w:rPr>
        <w:t>S</w:t>
      </w:r>
      <w:r w:rsidRPr="002253C2">
        <w:rPr>
          <w:rFonts w:ascii="Verdana" w:hAnsi="Verdana"/>
          <w:sz w:val="21"/>
          <w:szCs w:val="21"/>
          <w:lang w:eastAsia="it-IT"/>
        </w:rPr>
        <w:t xml:space="preserve">ocietà </w:t>
      </w:r>
      <w:r w:rsidRPr="006607BD">
        <w:rPr>
          <w:rFonts w:ascii="Verdana" w:hAnsi="Verdana"/>
          <w:sz w:val="21"/>
          <w:szCs w:val="21"/>
          <w:lang w:eastAsia="it-IT"/>
        </w:rPr>
        <w:t xml:space="preserve">essendo chiamato a informare, fornire consulenza e </w:t>
      </w:r>
      <w:r w:rsidRPr="009B33B8">
        <w:rPr>
          <w:rFonts w:ascii="Verdana" w:hAnsi="Verdana"/>
          <w:sz w:val="21"/>
          <w:szCs w:val="21"/>
          <w:lang w:eastAsia="it-IT"/>
        </w:rPr>
        <w:t>sorvegliare circa il rispetto</w:t>
      </w:r>
      <w:r w:rsidRPr="006607BD">
        <w:rPr>
          <w:rFonts w:ascii="Verdana" w:hAnsi="Verdana"/>
          <w:sz w:val="21"/>
          <w:szCs w:val="21"/>
          <w:lang w:eastAsia="it-IT"/>
        </w:rPr>
        <w:t xml:space="preserve"> degli obblighi in materia di protezione dei dati personali </w:t>
      </w:r>
      <w:r>
        <w:rPr>
          <w:rFonts w:ascii="Verdana" w:hAnsi="Verdana"/>
          <w:sz w:val="21"/>
          <w:szCs w:val="21"/>
          <w:lang w:eastAsia="it-IT"/>
        </w:rPr>
        <w:t xml:space="preserve">derivanti </w:t>
      </w:r>
      <w:r w:rsidRPr="006607BD">
        <w:rPr>
          <w:rFonts w:ascii="Verdana" w:hAnsi="Verdana"/>
          <w:sz w:val="21"/>
          <w:szCs w:val="21"/>
          <w:lang w:eastAsia="it-IT"/>
        </w:rPr>
        <w:t xml:space="preserve">dalla normativa europea (Regolamento UE 679/2016). </w:t>
      </w:r>
    </w:p>
    <w:p w14:paraId="40BF1848" w14:textId="77777777" w:rsidR="004F4468" w:rsidRPr="006607BD" w:rsidRDefault="004F4468" w:rsidP="004F4468">
      <w:pPr>
        <w:pStyle w:val="Nessunaspaziatura"/>
        <w:jc w:val="both"/>
        <w:rPr>
          <w:rFonts w:ascii="Verdana" w:hAnsi="Verdana"/>
          <w:sz w:val="21"/>
          <w:szCs w:val="21"/>
          <w:lang w:eastAsia="it-IT"/>
        </w:rPr>
      </w:pPr>
    </w:p>
    <w:p w14:paraId="7E1348CF" w14:textId="003ACB35" w:rsidR="004F4468" w:rsidRDefault="004F4468" w:rsidP="008D5803">
      <w:pPr>
        <w:spacing w:after="0" w:line="240" w:lineRule="auto"/>
        <w:jc w:val="both"/>
        <w:rPr>
          <w:rFonts w:ascii="Verdana" w:hAnsi="Verdana"/>
          <w:sz w:val="21"/>
          <w:szCs w:val="21"/>
          <w:lang w:eastAsia="it-IT"/>
        </w:rPr>
      </w:pPr>
      <w:r w:rsidRPr="00CD66AD">
        <w:rPr>
          <w:rFonts w:ascii="Verdana" w:hAnsi="Verdana"/>
          <w:sz w:val="21"/>
          <w:szCs w:val="21"/>
          <w:lang w:eastAsia="it-IT"/>
        </w:rPr>
        <w:t xml:space="preserve">Dal 2023, il Responsabile per la Protezione dei dati personali (RPD) o Data </w:t>
      </w:r>
      <w:proofErr w:type="spellStart"/>
      <w:r w:rsidRPr="00CD66AD">
        <w:rPr>
          <w:rFonts w:ascii="Verdana" w:hAnsi="Verdana"/>
          <w:sz w:val="21"/>
          <w:szCs w:val="21"/>
          <w:lang w:eastAsia="it-IT"/>
        </w:rPr>
        <w:t>Protection</w:t>
      </w:r>
      <w:proofErr w:type="spellEnd"/>
      <w:r w:rsidRPr="00CD66AD">
        <w:rPr>
          <w:rFonts w:ascii="Verdana" w:hAnsi="Verdana"/>
          <w:sz w:val="21"/>
          <w:szCs w:val="21"/>
          <w:lang w:eastAsia="it-IT"/>
        </w:rPr>
        <w:t xml:space="preserve"> Officer (DPO), di carattere </w:t>
      </w:r>
      <w:proofErr w:type="spellStart"/>
      <w:r w:rsidRPr="00CD66AD">
        <w:rPr>
          <w:rFonts w:ascii="Verdana" w:hAnsi="Verdana"/>
          <w:sz w:val="21"/>
          <w:szCs w:val="21"/>
          <w:lang w:eastAsia="it-IT"/>
        </w:rPr>
        <w:t>sovraziendale</w:t>
      </w:r>
      <w:proofErr w:type="spellEnd"/>
      <w:r w:rsidRPr="00CD66AD">
        <w:rPr>
          <w:rFonts w:ascii="Verdana" w:hAnsi="Verdana"/>
          <w:sz w:val="21"/>
          <w:szCs w:val="21"/>
          <w:lang w:eastAsia="it-IT"/>
        </w:rPr>
        <w:t xml:space="preserve"> (Azienda Usl di Bologna, Azienda Ospedaliera Universitaria di Bologna, Azienda Usl di Imola, Istituto Ortopedico Rizzoli </w:t>
      </w:r>
      <w:r w:rsidRPr="002253C2">
        <w:rPr>
          <w:rFonts w:ascii="Verdana" w:hAnsi="Verdana"/>
          <w:sz w:val="21"/>
          <w:szCs w:val="21"/>
          <w:lang w:eastAsia="it-IT"/>
        </w:rPr>
        <w:t>e Montecatone R</w:t>
      </w:r>
      <w:r w:rsidR="00214097" w:rsidRPr="002253C2">
        <w:rPr>
          <w:rFonts w:ascii="Verdana" w:hAnsi="Verdana"/>
          <w:sz w:val="21"/>
          <w:szCs w:val="21"/>
          <w:lang w:eastAsia="it-IT"/>
        </w:rPr>
        <w:t>.</w:t>
      </w:r>
      <w:r w:rsidRPr="002253C2">
        <w:rPr>
          <w:rFonts w:ascii="Verdana" w:hAnsi="Verdana"/>
          <w:sz w:val="21"/>
          <w:szCs w:val="21"/>
          <w:lang w:eastAsia="it-IT"/>
        </w:rPr>
        <w:t>I</w:t>
      </w:r>
      <w:r w:rsidR="00214097" w:rsidRPr="002253C2">
        <w:rPr>
          <w:rFonts w:ascii="Verdana" w:hAnsi="Verdana"/>
          <w:sz w:val="21"/>
          <w:szCs w:val="21"/>
          <w:lang w:eastAsia="it-IT"/>
        </w:rPr>
        <w:t>. S.p.A.</w:t>
      </w:r>
      <w:r w:rsidR="002253C2">
        <w:rPr>
          <w:rFonts w:ascii="Verdana" w:hAnsi="Verdana"/>
          <w:sz w:val="21"/>
          <w:szCs w:val="21"/>
          <w:lang w:eastAsia="it-IT"/>
        </w:rPr>
        <w:t>)</w:t>
      </w:r>
      <w:r w:rsidRPr="002253C2">
        <w:rPr>
          <w:rFonts w:ascii="Verdana" w:hAnsi="Verdana"/>
          <w:sz w:val="21"/>
          <w:szCs w:val="21"/>
          <w:lang w:eastAsia="it-IT"/>
        </w:rPr>
        <w:t xml:space="preserve">, </w:t>
      </w:r>
      <w:r w:rsidRPr="00CD66AD">
        <w:rPr>
          <w:rFonts w:ascii="Verdana" w:hAnsi="Verdana"/>
          <w:sz w:val="21"/>
          <w:szCs w:val="21"/>
          <w:lang w:eastAsia="it-IT"/>
        </w:rPr>
        <w:t>selezionato attraverso avviso pubblico emesso dal Direttore del Servizio Unico Metropolitano Amministrazione del Personale (SUMAP) di Bologna, con incarico a tempo determinato fino al 31 agosto 2028, è il Dottor Manuel Ottaviano in forza all’Azienda Ospedaliera Universitaria di Bologna.</w:t>
      </w:r>
    </w:p>
    <w:p w14:paraId="44DD386B" w14:textId="77777777" w:rsidR="008D5803" w:rsidRDefault="008D5803" w:rsidP="008D5803">
      <w:pPr>
        <w:spacing w:after="0" w:line="240" w:lineRule="auto"/>
        <w:jc w:val="both"/>
        <w:rPr>
          <w:rFonts w:ascii="Verdana" w:hAnsi="Verdana"/>
          <w:sz w:val="21"/>
          <w:szCs w:val="21"/>
          <w:lang w:eastAsia="it-IT"/>
        </w:rPr>
      </w:pPr>
    </w:p>
    <w:p w14:paraId="75CA273A" w14:textId="77777777" w:rsidR="007D6635" w:rsidRDefault="007D6635" w:rsidP="008D5803">
      <w:pPr>
        <w:spacing w:after="0" w:line="240" w:lineRule="auto"/>
        <w:jc w:val="both"/>
        <w:rPr>
          <w:rFonts w:ascii="Verdana" w:hAnsi="Verdana"/>
          <w:sz w:val="21"/>
          <w:szCs w:val="21"/>
          <w:lang w:eastAsia="it-IT"/>
        </w:rPr>
      </w:pPr>
    </w:p>
    <w:p w14:paraId="674FCB69" w14:textId="77777777" w:rsidR="008D5803" w:rsidRPr="00CD66AD" w:rsidRDefault="008D5803" w:rsidP="009D0BA0">
      <w:pPr>
        <w:spacing w:after="0" w:line="240" w:lineRule="auto"/>
        <w:jc w:val="both"/>
        <w:rPr>
          <w:rFonts w:ascii="Verdana" w:hAnsi="Verdana"/>
          <w:sz w:val="21"/>
          <w:szCs w:val="21"/>
        </w:rPr>
      </w:pPr>
      <w:r w:rsidRPr="00CD66AD">
        <w:rPr>
          <w:rFonts w:ascii="Verdana" w:hAnsi="Verdana"/>
          <w:sz w:val="21"/>
          <w:szCs w:val="21"/>
          <w:lang w:eastAsia="it-IT"/>
        </w:rPr>
        <w:t xml:space="preserve">I </w:t>
      </w:r>
      <w:r w:rsidRPr="00CD66AD">
        <w:rPr>
          <w:rFonts w:ascii="Verdana" w:hAnsi="Verdana"/>
          <w:b/>
          <w:bCs/>
          <w:sz w:val="21"/>
          <w:szCs w:val="21"/>
          <w:lang w:eastAsia="it-IT"/>
        </w:rPr>
        <w:t>DIPENDENTI</w:t>
      </w:r>
      <w:r w:rsidRPr="00CD66AD">
        <w:rPr>
          <w:rFonts w:ascii="Verdana" w:hAnsi="Verdana"/>
          <w:sz w:val="21"/>
          <w:szCs w:val="21"/>
          <w:lang w:eastAsia="it-IT"/>
        </w:rPr>
        <w:t xml:space="preserve"> è opportuno che partecipino attivamente al processo di gestione del rischio e, in particolare, alla attuazione delle misure di prevenzione programmate nel PTPCT e inoltre sono chiamati a osservare le disposizioni del “Modello 231” e gli obblighi di condotta previsti dal Codice Etico e Comportamentale, segnalando le situazioni di illecito e i casi di personale conflitto di interessi, con dovere di collaborazione e cooperazione attiva con l’RPCT.</w:t>
      </w:r>
    </w:p>
    <w:p w14:paraId="7B3B7859" w14:textId="77777777" w:rsidR="008D5803" w:rsidRPr="00CD66AD" w:rsidRDefault="008D5803" w:rsidP="009D0BA0">
      <w:pPr>
        <w:shd w:val="clear" w:color="auto" w:fill="FFFFFF"/>
        <w:spacing w:after="0" w:line="240" w:lineRule="auto"/>
        <w:contextualSpacing/>
        <w:jc w:val="both"/>
        <w:rPr>
          <w:rFonts w:ascii="Verdana" w:hAnsi="Verdana"/>
          <w:sz w:val="21"/>
          <w:szCs w:val="21"/>
        </w:rPr>
      </w:pPr>
      <w:r w:rsidRPr="00CD66AD">
        <w:rPr>
          <w:rFonts w:ascii="Verdana" w:hAnsi="Verdana"/>
          <w:sz w:val="21"/>
          <w:szCs w:val="21"/>
          <w:lang w:eastAsia="it-IT"/>
        </w:rPr>
        <w:t>I collaboratori a qualsiasi titolo della Società osservano, per quanto compatibili, le misure contenute nel presente Piano, le disposizioni del “Modello 231” e gli obblighi di condotta previsti dal</w:t>
      </w:r>
      <w:r w:rsidRPr="00CD66AD">
        <w:rPr>
          <w:rFonts w:ascii="Verdana" w:hAnsi="Verdana"/>
          <w:sz w:val="21"/>
          <w:szCs w:val="21"/>
        </w:rPr>
        <w:t xml:space="preserve"> </w:t>
      </w:r>
      <w:r w:rsidRPr="00CD66AD">
        <w:rPr>
          <w:rFonts w:ascii="Verdana" w:hAnsi="Verdana"/>
          <w:sz w:val="21"/>
          <w:szCs w:val="21"/>
          <w:lang w:eastAsia="it-IT"/>
        </w:rPr>
        <w:t>Codice Etico e Comportamentale.</w:t>
      </w:r>
    </w:p>
    <w:p w14:paraId="3384DC2E" w14:textId="77777777" w:rsidR="008D5803" w:rsidRPr="00CD66AD" w:rsidRDefault="008D5803" w:rsidP="009D0BA0">
      <w:pPr>
        <w:shd w:val="clear" w:color="auto" w:fill="FFFFFF"/>
        <w:spacing w:after="0" w:line="240" w:lineRule="auto"/>
        <w:contextualSpacing/>
        <w:jc w:val="both"/>
        <w:rPr>
          <w:rFonts w:ascii="Verdana" w:hAnsi="Verdana"/>
          <w:sz w:val="21"/>
          <w:szCs w:val="21"/>
          <w:lang w:eastAsia="it-IT"/>
        </w:rPr>
      </w:pPr>
    </w:p>
    <w:p w14:paraId="0AFF8F48" w14:textId="77777777" w:rsidR="008D5803" w:rsidRPr="00CD66AD" w:rsidRDefault="008D5803" w:rsidP="009D0BA0">
      <w:pPr>
        <w:spacing w:after="0" w:line="240" w:lineRule="auto"/>
        <w:jc w:val="both"/>
        <w:rPr>
          <w:rFonts w:ascii="Verdana" w:hAnsi="Verdana"/>
          <w:sz w:val="21"/>
          <w:szCs w:val="21"/>
          <w:lang w:eastAsia="it-IT"/>
        </w:rPr>
      </w:pPr>
      <w:r w:rsidRPr="00CD66AD">
        <w:rPr>
          <w:rFonts w:ascii="Verdana" w:hAnsi="Verdana"/>
          <w:sz w:val="21"/>
          <w:szCs w:val="21"/>
          <w:lang w:eastAsia="it-IT"/>
        </w:rPr>
        <w:t>Tutti i soggetti che dispongono di dati utili e rilevanti per la prevenzione e la repressione della corruzione e dell’illegalità hanno l’obbligo di fornirli tempestivamente al RPCT ai fini della corretta attuazione del processo di gestione del rischio</w:t>
      </w:r>
      <w:bookmarkStart w:id="4" w:name="_Hlk92263708"/>
      <w:r w:rsidRPr="00CD66AD">
        <w:rPr>
          <w:rFonts w:ascii="Verdana" w:hAnsi="Verdana"/>
          <w:sz w:val="21"/>
          <w:szCs w:val="21"/>
          <w:lang w:eastAsia="it-IT"/>
        </w:rPr>
        <w:t>. (cfr. paragrafo I.7 Whistleblowing).</w:t>
      </w:r>
      <w:bookmarkEnd w:id="4"/>
    </w:p>
    <w:p w14:paraId="092863F9" w14:textId="77777777" w:rsidR="00060289" w:rsidRDefault="00060289">
      <w:pPr>
        <w:shd w:val="clear" w:color="auto" w:fill="FFFFFF"/>
        <w:spacing w:after="360" w:line="240" w:lineRule="auto"/>
        <w:contextualSpacing/>
        <w:jc w:val="both"/>
        <w:rPr>
          <w:rFonts w:ascii="Verdana" w:hAnsi="Verdana"/>
          <w:sz w:val="21"/>
          <w:szCs w:val="21"/>
          <w:lang w:eastAsia="it-IT"/>
        </w:rPr>
      </w:pPr>
    </w:p>
    <w:p w14:paraId="6D8FFE61" w14:textId="77777777" w:rsidR="00DC28D5" w:rsidRDefault="00DC28D5">
      <w:pPr>
        <w:pStyle w:val="Titolo2"/>
        <w:rPr>
          <w:rFonts w:cs="Times New Roman"/>
        </w:rPr>
      </w:pPr>
      <w:bookmarkStart w:id="5" w:name="_Toc225863525"/>
      <w:r w:rsidRPr="0009315F">
        <w:rPr>
          <w:rFonts w:cs="Times New Roman"/>
          <w:lang w:val="it-IT"/>
        </w:rPr>
        <w:t xml:space="preserve">C.1 </w:t>
      </w:r>
      <w:r w:rsidRPr="0009315F">
        <w:rPr>
          <w:rFonts w:cs="Times New Roman"/>
        </w:rPr>
        <w:t>RESPONSABILE DELLA PREVENZIONE DELLA CORRUZIONE E DELLA TRASPARENZA</w:t>
      </w:r>
      <w:bookmarkEnd w:id="5"/>
    </w:p>
    <w:p w14:paraId="481EAE8C" w14:textId="77777777" w:rsidR="00C57446" w:rsidRDefault="00C57446">
      <w:pPr>
        <w:shd w:val="clear" w:color="auto" w:fill="FFFFFF"/>
        <w:autoSpaceDE w:val="0"/>
        <w:spacing w:after="150" w:line="240" w:lineRule="auto"/>
        <w:contextualSpacing/>
        <w:jc w:val="both"/>
        <w:rPr>
          <w:rFonts w:ascii="Verdana" w:hAnsi="Verdana"/>
          <w:bCs/>
          <w:sz w:val="21"/>
          <w:szCs w:val="21"/>
          <w:highlight w:val="yellow"/>
          <w:lang w:eastAsia="it-IT"/>
        </w:rPr>
      </w:pPr>
    </w:p>
    <w:p w14:paraId="5C1B0C7F" w14:textId="7E779D40" w:rsidR="00614DC6" w:rsidRPr="00CD66AD" w:rsidRDefault="00614DC6" w:rsidP="00614DC6">
      <w:pPr>
        <w:spacing w:after="30" w:line="240" w:lineRule="auto"/>
        <w:jc w:val="both"/>
        <w:rPr>
          <w:rFonts w:ascii="Verdana" w:hAnsi="Verdana"/>
          <w:sz w:val="21"/>
          <w:szCs w:val="21"/>
        </w:rPr>
      </w:pPr>
      <w:r w:rsidRPr="00CD66AD">
        <w:rPr>
          <w:rFonts w:ascii="Verdana" w:hAnsi="Verdana"/>
          <w:sz w:val="21"/>
          <w:szCs w:val="21"/>
        </w:rPr>
        <w:t>La L. 190/2012 attribuisce al Responsabile della Prevenzione dell</w:t>
      </w:r>
      <w:r w:rsidR="00465E21">
        <w:rPr>
          <w:rFonts w:ascii="Verdana" w:hAnsi="Verdana"/>
          <w:sz w:val="21"/>
          <w:szCs w:val="21"/>
        </w:rPr>
        <w:t>a</w:t>
      </w:r>
      <w:r w:rsidRPr="00CD66AD">
        <w:rPr>
          <w:rFonts w:ascii="Verdana" w:hAnsi="Verdana"/>
          <w:sz w:val="21"/>
          <w:szCs w:val="21"/>
        </w:rPr>
        <w:t xml:space="preserve"> Corruzione e della Trasparenza compiti principalmente rivolti a sostenere e guidare il processo di formulazione del PTPCT e a verificarne il funzionamento e l’attuazione. Tra gli altri, esso ha quindi il compito di predisporre il Piano Triennale di Prevenzione della Corruzione e della Trasparenza e di sottoporlo all’organo di indirizzo per la necessaria approvazione nonché di redigere la relazione annuale sui risultati dell’attività svolta secondo il format approvato da ANAC e assicurarne la pubblicazione nel sito web aziendale nella sezione dedicata a Società Trasparente.</w:t>
      </w:r>
    </w:p>
    <w:p w14:paraId="14BB4399" w14:textId="77777777" w:rsidR="00614DC6" w:rsidRDefault="00614DC6">
      <w:pPr>
        <w:shd w:val="clear" w:color="auto" w:fill="FFFFFF"/>
        <w:autoSpaceDE w:val="0"/>
        <w:spacing w:after="150" w:line="240" w:lineRule="auto"/>
        <w:contextualSpacing/>
        <w:jc w:val="both"/>
        <w:rPr>
          <w:rFonts w:ascii="Verdana" w:hAnsi="Verdana"/>
          <w:bCs/>
          <w:sz w:val="21"/>
          <w:szCs w:val="21"/>
          <w:highlight w:val="yellow"/>
          <w:lang w:eastAsia="it-IT"/>
        </w:rPr>
      </w:pPr>
    </w:p>
    <w:p w14:paraId="6F1D07CA" w14:textId="5C487636" w:rsidR="00614DC6" w:rsidRPr="00AD356A" w:rsidRDefault="00614DC6" w:rsidP="00614DC6">
      <w:pPr>
        <w:shd w:val="clear" w:color="auto" w:fill="FFFFFF"/>
        <w:spacing w:after="30" w:line="240" w:lineRule="auto"/>
        <w:contextualSpacing/>
        <w:jc w:val="both"/>
        <w:rPr>
          <w:rFonts w:ascii="Verdana" w:hAnsi="Verdana"/>
          <w:sz w:val="21"/>
          <w:szCs w:val="21"/>
        </w:rPr>
      </w:pPr>
      <w:r w:rsidRPr="00CD66AD">
        <w:rPr>
          <w:rFonts w:ascii="Verdana" w:hAnsi="Verdana"/>
          <w:sz w:val="21"/>
          <w:szCs w:val="21"/>
        </w:rPr>
        <w:t>Per un maggiore approfondimento delle attribuzioni e poteri dell’RPCT si fa riferimento all’Allegato n. 3 “Il RPCT e la struttura di supporto” del PNA 2022 con cui ANAC ha inteso aggiornare le indicazioni di carattere generale sulla figura dell’RPCT e sulla struttura di supporto, elaborando anche soluzioni differenziate in base alla dimensione e tipologia di amministrazioni/enti</w:t>
      </w:r>
      <w:r w:rsidR="00C02C56">
        <w:rPr>
          <w:rFonts w:ascii="Verdana" w:hAnsi="Verdana"/>
          <w:sz w:val="21"/>
          <w:szCs w:val="21"/>
        </w:rPr>
        <w:t xml:space="preserve">; </w:t>
      </w:r>
      <w:r w:rsidR="00C02C56" w:rsidRPr="00AD356A">
        <w:rPr>
          <w:rFonts w:ascii="Verdana" w:hAnsi="Verdana"/>
          <w:sz w:val="21"/>
          <w:szCs w:val="21"/>
        </w:rPr>
        <w:t>per la durata dell’incarico si ri</w:t>
      </w:r>
      <w:r w:rsidR="00177EBA" w:rsidRPr="00AD356A">
        <w:rPr>
          <w:rFonts w:ascii="Verdana" w:hAnsi="Verdana"/>
          <w:sz w:val="21"/>
          <w:szCs w:val="21"/>
        </w:rPr>
        <w:t>manda anche a</w:t>
      </w:r>
      <w:r w:rsidR="00C02C56" w:rsidRPr="00AD356A">
        <w:rPr>
          <w:rFonts w:ascii="Verdana" w:hAnsi="Verdana"/>
          <w:sz w:val="21"/>
          <w:szCs w:val="21"/>
        </w:rPr>
        <w:t>l Parere ANAC del 3 giugno 2025</w:t>
      </w:r>
      <w:r w:rsidR="00AD356A">
        <w:rPr>
          <w:rFonts w:ascii="Verdana" w:hAnsi="Verdana"/>
          <w:sz w:val="21"/>
          <w:szCs w:val="21"/>
        </w:rPr>
        <w:t xml:space="preserve"> </w:t>
      </w:r>
      <w:r w:rsidRPr="00AD356A">
        <w:rPr>
          <w:rStyle w:val="Caratterinotaapidipagina"/>
          <w:rFonts w:ascii="Verdana" w:hAnsi="Verdana"/>
          <w:sz w:val="21"/>
          <w:szCs w:val="21"/>
          <w:lang w:eastAsia="it-IT"/>
        </w:rPr>
        <w:footnoteReference w:id="3"/>
      </w:r>
      <w:r w:rsidRPr="00AD356A">
        <w:rPr>
          <w:rFonts w:ascii="Verdana" w:hAnsi="Verdana"/>
          <w:sz w:val="21"/>
          <w:szCs w:val="21"/>
        </w:rPr>
        <w:t xml:space="preserve">. </w:t>
      </w:r>
    </w:p>
    <w:p w14:paraId="3CF02A35" w14:textId="7766C853" w:rsidR="0071453B" w:rsidRPr="00AD356A" w:rsidRDefault="004D77A8" w:rsidP="0071453B">
      <w:pPr>
        <w:shd w:val="clear" w:color="auto" w:fill="FFFFFF"/>
        <w:autoSpaceDE w:val="0"/>
        <w:spacing w:after="150" w:line="240" w:lineRule="auto"/>
        <w:contextualSpacing/>
        <w:jc w:val="both"/>
        <w:rPr>
          <w:rFonts w:ascii="Verdana" w:hAnsi="Verdana"/>
          <w:bCs/>
          <w:strike/>
          <w:sz w:val="21"/>
          <w:szCs w:val="21"/>
          <w:lang w:eastAsia="it-IT"/>
        </w:rPr>
      </w:pPr>
      <w:r w:rsidRPr="00AD356A">
        <w:rPr>
          <w:rFonts w:ascii="Verdana" w:hAnsi="Verdana"/>
          <w:bCs/>
          <w:sz w:val="21"/>
          <w:szCs w:val="21"/>
          <w:lang w:eastAsia="it-IT"/>
        </w:rPr>
        <w:t>Le</w:t>
      </w:r>
      <w:r w:rsidR="00017686">
        <w:rPr>
          <w:rFonts w:ascii="Verdana" w:hAnsi="Verdana"/>
          <w:bCs/>
          <w:sz w:val="21"/>
          <w:szCs w:val="21"/>
          <w:lang w:eastAsia="it-IT"/>
        </w:rPr>
        <w:t xml:space="preserve"> </w:t>
      </w:r>
      <w:r w:rsidR="00272703" w:rsidRPr="00AD356A">
        <w:rPr>
          <w:rFonts w:ascii="Verdana" w:hAnsi="Verdana"/>
          <w:bCs/>
          <w:sz w:val="21"/>
          <w:szCs w:val="21"/>
          <w:lang w:eastAsia="it-IT"/>
        </w:rPr>
        <w:t xml:space="preserve">nomine dell’RPCT </w:t>
      </w:r>
      <w:r w:rsidR="00FF760E" w:rsidRPr="00AD356A">
        <w:rPr>
          <w:rFonts w:ascii="Verdana" w:hAnsi="Verdana"/>
          <w:bCs/>
          <w:sz w:val="21"/>
          <w:szCs w:val="21"/>
          <w:lang w:eastAsia="it-IT"/>
        </w:rPr>
        <w:t xml:space="preserve">(Monica Lovisetto) </w:t>
      </w:r>
      <w:r w:rsidR="00272703" w:rsidRPr="00AD356A">
        <w:rPr>
          <w:rFonts w:ascii="Verdana" w:hAnsi="Verdana"/>
          <w:bCs/>
          <w:sz w:val="21"/>
          <w:szCs w:val="21"/>
          <w:lang w:eastAsia="it-IT"/>
        </w:rPr>
        <w:t>e d</w:t>
      </w:r>
      <w:r w:rsidR="002D32BE" w:rsidRPr="00AD356A">
        <w:rPr>
          <w:rFonts w:ascii="Verdana" w:hAnsi="Verdana"/>
          <w:bCs/>
          <w:sz w:val="21"/>
          <w:szCs w:val="21"/>
          <w:lang w:eastAsia="it-IT"/>
        </w:rPr>
        <w:t>ella struttura di supporto</w:t>
      </w:r>
      <w:r w:rsidR="00272703" w:rsidRPr="00AD356A">
        <w:rPr>
          <w:rFonts w:ascii="Verdana" w:hAnsi="Verdana"/>
          <w:bCs/>
          <w:sz w:val="21"/>
          <w:szCs w:val="21"/>
          <w:lang w:eastAsia="it-IT"/>
        </w:rPr>
        <w:t xml:space="preserve"> </w:t>
      </w:r>
      <w:r w:rsidR="00FF760E" w:rsidRPr="00AD356A">
        <w:rPr>
          <w:rFonts w:ascii="Verdana" w:hAnsi="Verdana"/>
          <w:bCs/>
          <w:sz w:val="21"/>
          <w:szCs w:val="21"/>
          <w:lang w:eastAsia="it-IT"/>
        </w:rPr>
        <w:t>(Claudia Corsolini, Elisabetta Marani)</w:t>
      </w:r>
      <w:r w:rsidR="0071453B" w:rsidRPr="00AD356A">
        <w:rPr>
          <w:rFonts w:ascii="Verdana" w:hAnsi="Verdana"/>
          <w:bCs/>
          <w:sz w:val="21"/>
          <w:szCs w:val="21"/>
          <w:lang w:eastAsia="it-IT"/>
        </w:rPr>
        <w:t xml:space="preserve"> giun</w:t>
      </w:r>
      <w:r w:rsidR="001A5288">
        <w:rPr>
          <w:rFonts w:ascii="Verdana" w:hAnsi="Verdana"/>
          <w:bCs/>
          <w:sz w:val="21"/>
          <w:szCs w:val="21"/>
          <w:lang w:eastAsia="it-IT"/>
        </w:rPr>
        <w:t>te</w:t>
      </w:r>
      <w:r w:rsidR="0071453B" w:rsidRPr="00AD356A">
        <w:rPr>
          <w:rFonts w:ascii="Verdana" w:hAnsi="Verdana"/>
          <w:bCs/>
          <w:sz w:val="21"/>
          <w:szCs w:val="21"/>
          <w:lang w:eastAsia="it-IT"/>
        </w:rPr>
        <w:t xml:space="preserve"> a scadenza i</w:t>
      </w:r>
      <w:r w:rsidR="00614DC6" w:rsidRPr="00AD356A">
        <w:rPr>
          <w:rFonts w:ascii="Verdana" w:hAnsi="Verdana"/>
          <w:bCs/>
          <w:sz w:val="21"/>
          <w:szCs w:val="21"/>
          <w:lang w:eastAsia="it-IT"/>
        </w:rPr>
        <w:t>l 31 gennaio 2026</w:t>
      </w:r>
      <w:r w:rsidR="00017686">
        <w:rPr>
          <w:rFonts w:ascii="Verdana" w:hAnsi="Verdana"/>
          <w:bCs/>
          <w:sz w:val="21"/>
          <w:szCs w:val="21"/>
          <w:lang w:eastAsia="it-IT"/>
        </w:rPr>
        <w:t>,</w:t>
      </w:r>
      <w:r w:rsidR="001A5288">
        <w:rPr>
          <w:rFonts w:ascii="Verdana" w:hAnsi="Verdana"/>
          <w:bCs/>
          <w:sz w:val="21"/>
          <w:szCs w:val="21"/>
          <w:lang w:eastAsia="it-IT"/>
        </w:rPr>
        <w:t xml:space="preserve"> </w:t>
      </w:r>
      <w:r w:rsidR="001A5288" w:rsidRPr="00017686">
        <w:rPr>
          <w:rFonts w:ascii="Verdana" w:hAnsi="Verdana"/>
          <w:bCs/>
          <w:sz w:val="21"/>
          <w:szCs w:val="21"/>
          <w:lang w:eastAsia="it-IT"/>
        </w:rPr>
        <w:t xml:space="preserve">sono state </w:t>
      </w:r>
      <w:r w:rsidR="00017686" w:rsidRPr="00017686">
        <w:rPr>
          <w:rFonts w:ascii="Verdana" w:hAnsi="Verdana"/>
          <w:bCs/>
          <w:sz w:val="21"/>
          <w:szCs w:val="21"/>
          <w:lang w:eastAsia="it-IT"/>
        </w:rPr>
        <w:t>r</w:t>
      </w:r>
      <w:r w:rsidR="001002DF" w:rsidRPr="00017686">
        <w:rPr>
          <w:rFonts w:ascii="Verdana" w:hAnsi="Verdana"/>
          <w:bCs/>
          <w:sz w:val="21"/>
          <w:szCs w:val="21"/>
          <w:lang w:eastAsia="it-IT"/>
        </w:rPr>
        <w:t>innov</w:t>
      </w:r>
      <w:r w:rsidR="00017686" w:rsidRPr="00017686">
        <w:rPr>
          <w:rFonts w:ascii="Verdana" w:hAnsi="Verdana"/>
          <w:bCs/>
          <w:sz w:val="21"/>
          <w:szCs w:val="21"/>
          <w:lang w:eastAsia="it-IT"/>
        </w:rPr>
        <w:t xml:space="preserve">ate </w:t>
      </w:r>
      <w:r w:rsidR="001A5288" w:rsidRPr="00017686">
        <w:rPr>
          <w:rFonts w:ascii="Verdana" w:hAnsi="Verdana"/>
          <w:bCs/>
          <w:sz w:val="21"/>
          <w:szCs w:val="21"/>
          <w:lang w:eastAsia="it-IT"/>
        </w:rPr>
        <w:t>nella seduta</w:t>
      </w:r>
      <w:r w:rsidR="0071453B" w:rsidRPr="00017686">
        <w:rPr>
          <w:rFonts w:ascii="Verdana" w:hAnsi="Verdana"/>
          <w:bCs/>
          <w:sz w:val="21"/>
          <w:szCs w:val="21"/>
          <w:lang w:eastAsia="it-IT"/>
        </w:rPr>
        <w:t xml:space="preserve"> </w:t>
      </w:r>
      <w:r w:rsidR="001A5288" w:rsidRPr="00017686">
        <w:rPr>
          <w:rFonts w:ascii="Verdana" w:hAnsi="Verdana"/>
          <w:bCs/>
          <w:sz w:val="21"/>
          <w:szCs w:val="21"/>
          <w:lang w:eastAsia="it-IT"/>
        </w:rPr>
        <w:t>del Consiglio di Amministrazione dedicata al</w:t>
      </w:r>
      <w:r w:rsidR="0071453B" w:rsidRPr="00017686">
        <w:rPr>
          <w:rFonts w:ascii="Verdana" w:hAnsi="Verdana"/>
          <w:bCs/>
          <w:sz w:val="21"/>
          <w:szCs w:val="21"/>
          <w:lang w:eastAsia="it-IT"/>
        </w:rPr>
        <w:t>l’approvazione del presente PTPCT</w:t>
      </w:r>
      <w:r w:rsidR="001A5288" w:rsidRPr="00017686">
        <w:rPr>
          <w:rFonts w:ascii="Verdana" w:hAnsi="Verdana"/>
          <w:bCs/>
          <w:sz w:val="21"/>
          <w:szCs w:val="21"/>
          <w:lang w:eastAsia="it-IT"/>
        </w:rPr>
        <w:t>, il 2</w:t>
      </w:r>
      <w:r w:rsidR="00600365" w:rsidRPr="00017686">
        <w:rPr>
          <w:rFonts w:ascii="Verdana" w:hAnsi="Verdana"/>
          <w:bCs/>
          <w:sz w:val="21"/>
          <w:szCs w:val="21"/>
          <w:lang w:eastAsia="it-IT"/>
        </w:rPr>
        <w:t>7</w:t>
      </w:r>
      <w:r w:rsidR="001A5288" w:rsidRPr="00017686">
        <w:rPr>
          <w:rFonts w:ascii="Verdana" w:hAnsi="Verdana"/>
          <w:bCs/>
          <w:sz w:val="21"/>
          <w:szCs w:val="21"/>
          <w:lang w:eastAsia="it-IT"/>
        </w:rPr>
        <w:t xml:space="preserve"> marzo 2026</w:t>
      </w:r>
      <w:r w:rsidR="00017686" w:rsidRPr="00017686">
        <w:rPr>
          <w:rFonts w:ascii="Verdana" w:hAnsi="Verdana"/>
          <w:bCs/>
          <w:sz w:val="21"/>
          <w:szCs w:val="21"/>
          <w:lang w:eastAsia="it-IT"/>
        </w:rPr>
        <w:t xml:space="preserve">, </w:t>
      </w:r>
      <w:r w:rsidR="00017686" w:rsidRPr="00017686">
        <w:rPr>
          <w:rFonts w:ascii="Verdana" w:hAnsi="Verdana"/>
          <w:bCs/>
          <w:sz w:val="21"/>
          <w:szCs w:val="21"/>
          <w:lang w:eastAsia="it-IT"/>
        </w:rPr>
        <w:t>per un ulteriore triennio fino al 31 gennaio 2029</w:t>
      </w:r>
      <w:r w:rsidR="00447147" w:rsidRPr="00017686">
        <w:rPr>
          <w:rFonts w:ascii="Verdana" w:hAnsi="Verdana"/>
          <w:bCs/>
          <w:sz w:val="21"/>
          <w:szCs w:val="21"/>
          <w:lang w:eastAsia="it-IT"/>
        </w:rPr>
        <w:t>.</w:t>
      </w:r>
    </w:p>
    <w:p w14:paraId="76CFEBED" w14:textId="62EBD7B2" w:rsidR="00B9502D" w:rsidRDefault="005209DC">
      <w:pPr>
        <w:shd w:val="clear" w:color="auto" w:fill="FFFFFF"/>
        <w:autoSpaceDE w:val="0"/>
        <w:spacing w:after="150" w:line="240" w:lineRule="auto"/>
        <w:contextualSpacing/>
        <w:jc w:val="both"/>
        <w:rPr>
          <w:rFonts w:ascii="Verdana" w:hAnsi="Verdana"/>
          <w:bCs/>
          <w:sz w:val="21"/>
          <w:szCs w:val="21"/>
          <w:lang w:eastAsia="it-IT"/>
        </w:rPr>
      </w:pPr>
      <w:r>
        <w:rPr>
          <w:rFonts w:ascii="Verdana" w:hAnsi="Verdana"/>
          <w:bCs/>
          <w:sz w:val="21"/>
          <w:szCs w:val="21"/>
          <w:lang w:eastAsia="it-IT"/>
        </w:rPr>
        <w:t xml:space="preserve"> </w:t>
      </w:r>
    </w:p>
    <w:p w14:paraId="6019876E" w14:textId="77777777" w:rsidR="00614DC6" w:rsidRPr="00CD66AD" w:rsidRDefault="00614DC6" w:rsidP="00614DC6">
      <w:pPr>
        <w:shd w:val="clear" w:color="auto" w:fill="FFFFFF"/>
        <w:spacing w:after="150" w:line="240" w:lineRule="auto"/>
        <w:contextualSpacing/>
        <w:jc w:val="both"/>
        <w:rPr>
          <w:rFonts w:ascii="Verdana" w:hAnsi="Verdana"/>
          <w:sz w:val="21"/>
          <w:szCs w:val="21"/>
        </w:rPr>
      </w:pPr>
      <w:r w:rsidRPr="00CD66AD">
        <w:rPr>
          <w:rFonts w:ascii="Verdana" w:hAnsi="Verdana"/>
          <w:sz w:val="21"/>
          <w:szCs w:val="21"/>
        </w:rPr>
        <w:t>La nomina del RPCT</w:t>
      </w:r>
      <w:r w:rsidR="00AF7552" w:rsidRPr="00CD66AD">
        <w:rPr>
          <w:rFonts w:ascii="Verdana" w:hAnsi="Verdana"/>
          <w:sz w:val="21"/>
          <w:szCs w:val="21"/>
        </w:rPr>
        <w:t xml:space="preserve"> </w:t>
      </w:r>
      <w:r w:rsidR="001F342B">
        <w:rPr>
          <w:rFonts w:ascii="Verdana" w:hAnsi="Verdana"/>
          <w:sz w:val="21"/>
          <w:szCs w:val="21"/>
        </w:rPr>
        <w:t>è stata</w:t>
      </w:r>
      <w:r w:rsidRPr="00CD66AD">
        <w:rPr>
          <w:rFonts w:ascii="Verdana" w:hAnsi="Verdana"/>
          <w:sz w:val="21"/>
          <w:szCs w:val="21"/>
        </w:rPr>
        <w:t xml:space="preserve"> comunicata a</w:t>
      </w:r>
      <w:r w:rsidR="0059469F">
        <w:rPr>
          <w:rFonts w:ascii="Verdana" w:hAnsi="Verdana"/>
          <w:sz w:val="21"/>
          <w:szCs w:val="21"/>
        </w:rPr>
        <w:t xml:space="preserve">d </w:t>
      </w:r>
      <w:r w:rsidRPr="00CD66AD">
        <w:rPr>
          <w:rFonts w:ascii="Verdana" w:hAnsi="Verdana"/>
          <w:sz w:val="21"/>
          <w:szCs w:val="21"/>
        </w:rPr>
        <w:t xml:space="preserve">ANAC attraverso il modulo pubblicato sul sito istituzionale dell’Autorità in data </w:t>
      </w:r>
      <w:proofErr w:type="gramStart"/>
      <w:r w:rsidRPr="00CD66AD">
        <w:rPr>
          <w:rFonts w:ascii="Verdana" w:hAnsi="Verdana"/>
          <w:sz w:val="21"/>
          <w:szCs w:val="21"/>
        </w:rPr>
        <w:t>1</w:t>
      </w:r>
      <w:r w:rsidR="00681E21" w:rsidRPr="00CD66AD">
        <w:rPr>
          <w:rFonts w:ascii="Verdana" w:hAnsi="Verdana"/>
          <w:sz w:val="21"/>
          <w:szCs w:val="21"/>
        </w:rPr>
        <w:t xml:space="preserve"> </w:t>
      </w:r>
      <w:r w:rsidRPr="00CD66AD">
        <w:rPr>
          <w:rFonts w:ascii="Verdana" w:hAnsi="Verdana"/>
          <w:sz w:val="21"/>
          <w:szCs w:val="21"/>
        </w:rPr>
        <w:t>febbraio</w:t>
      </w:r>
      <w:proofErr w:type="gramEnd"/>
      <w:r w:rsidRPr="00CD66AD">
        <w:rPr>
          <w:rFonts w:ascii="Verdana" w:hAnsi="Verdana"/>
          <w:sz w:val="21"/>
          <w:szCs w:val="21"/>
        </w:rPr>
        <w:t xml:space="preserve"> 2017</w:t>
      </w:r>
      <w:r w:rsidR="00AF7552" w:rsidRPr="00CD66AD">
        <w:rPr>
          <w:rFonts w:ascii="Verdana" w:hAnsi="Verdana"/>
          <w:sz w:val="21"/>
          <w:szCs w:val="21"/>
        </w:rPr>
        <w:t xml:space="preserve"> (data inizio primo incarico)</w:t>
      </w:r>
      <w:r w:rsidRPr="00CD66AD">
        <w:rPr>
          <w:rFonts w:ascii="Verdana" w:hAnsi="Verdana"/>
          <w:sz w:val="21"/>
          <w:szCs w:val="21"/>
        </w:rPr>
        <w:t>; in data 13 gennaio 2020, tempestivamente, il RPCT</w:t>
      </w:r>
      <w:r w:rsidR="001F342B">
        <w:rPr>
          <w:rFonts w:ascii="Verdana" w:hAnsi="Verdana"/>
          <w:sz w:val="21"/>
          <w:szCs w:val="21"/>
        </w:rPr>
        <w:t xml:space="preserve"> ha</w:t>
      </w:r>
      <w:r w:rsidRPr="00CD66AD">
        <w:rPr>
          <w:rFonts w:ascii="Verdana" w:hAnsi="Verdana"/>
          <w:sz w:val="21"/>
          <w:szCs w:val="21"/>
        </w:rPr>
        <w:t xml:space="preserve"> provveduto a registrarsi e ad accreditarsi direttamente nell’apposita piattaforma messa a disposizione sul sito internet dell’Autorità a decorrere dal </w:t>
      </w:r>
      <w:proofErr w:type="gramStart"/>
      <w:r w:rsidRPr="00CD66AD">
        <w:rPr>
          <w:rFonts w:ascii="Verdana" w:hAnsi="Verdana"/>
          <w:sz w:val="21"/>
          <w:szCs w:val="21"/>
        </w:rPr>
        <w:t>1 luglio</w:t>
      </w:r>
      <w:proofErr w:type="gramEnd"/>
      <w:r w:rsidRPr="00CD66AD">
        <w:rPr>
          <w:rFonts w:ascii="Verdana" w:hAnsi="Verdana"/>
          <w:sz w:val="21"/>
          <w:szCs w:val="21"/>
        </w:rPr>
        <w:t xml:space="preserve"> 2019.</w:t>
      </w:r>
    </w:p>
    <w:p w14:paraId="4E6D813F" w14:textId="77777777" w:rsidR="00614DC6" w:rsidRPr="00CD66AD" w:rsidRDefault="00614DC6" w:rsidP="00614DC6">
      <w:pPr>
        <w:shd w:val="clear" w:color="auto" w:fill="FFFFFF"/>
        <w:spacing w:after="150" w:line="240" w:lineRule="auto"/>
        <w:contextualSpacing/>
        <w:jc w:val="both"/>
        <w:rPr>
          <w:rFonts w:ascii="Verdana" w:hAnsi="Verdana"/>
          <w:sz w:val="21"/>
          <w:szCs w:val="21"/>
        </w:rPr>
      </w:pPr>
    </w:p>
    <w:p w14:paraId="5A041D9C" w14:textId="77777777" w:rsidR="00614DC6" w:rsidRPr="00CD66AD" w:rsidRDefault="00614DC6" w:rsidP="00614DC6">
      <w:pPr>
        <w:shd w:val="clear" w:color="auto" w:fill="FFFFFF"/>
        <w:autoSpaceDE w:val="0"/>
        <w:spacing w:after="150" w:line="240" w:lineRule="auto"/>
        <w:contextualSpacing/>
        <w:jc w:val="both"/>
        <w:rPr>
          <w:rFonts w:ascii="Verdana" w:hAnsi="Verdana"/>
          <w:bCs/>
          <w:sz w:val="21"/>
          <w:szCs w:val="21"/>
          <w:lang w:eastAsia="it-IT"/>
        </w:rPr>
      </w:pPr>
      <w:r w:rsidRPr="00CD66AD">
        <w:rPr>
          <w:rFonts w:ascii="Verdana" w:hAnsi="Verdana"/>
          <w:bCs/>
          <w:sz w:val="21"/>
          <w:szCs w:val="21"/>
          <w:lang w:eastAsia="it-IT"/>
        </w:rPr>
        <w:t xml:space="preserve">In caso di assenza temporanea del RPCT, la stessa potrà essere sostituita a rotazione dalle componenti del gruppo di supporto. </w:t>
      </w:r>
    </w:p>
    <w:p w14:paraId="6AF0CDB3" w14:textId="77777777" w:rsidR="00614DC6" w:rsidRDefault="00614DC6" w:rsidP="00614DC6">
      <w:pPr>
        <w:shd w:val="clear" w:color="auto" w:fill="FFFFFF"/>
        <w:autoSpaceDE w:val="0"/>
        <w:spacing w:after="150" w:line="240" w:lineRule="auto"/>
        <w:contextualSpacing/>
        <w:jc w:val="both"/>
        <w:rPr>
          <w:rFonts w:ascii="Verdana" w:hAnsi="Verdana"/>
          <w:bCs/>
          <w:color w:val="FF0000"/>
          <w:sz w:val="21"/>
          <w:szCs w:val="21"/>
          <w:lang w:eastAsia="it-IT"/>
        </w:rPr>
      </w:pPr>
    </w:p>
    <w:p w14:paraId="105B0703" w14:textId="77777777" w:rsidR="00681E21" w:rsidRDefault="00681E21">
      <w:pPr>
        <w:shd w:val="clear" w:color="auto" w:fill="FFFFFF"/>
        <w:autoSpaceDE w:val="0"/>
        <w:spacing w:after="150" w:line="240" w:lineRule="auto"/>
        <w:contextualSpacing/>
        <w:jc w:val="both"/>
        <w:rPr>
          <w:rFonts w:ascii="Verdana" w:hAnsi="Verdana"/>
          <w:bCs/>
          <w:color w:val="FF0000"/>
          <w:sz w:val="21"/>
          <w:szCs w:val="21"/>
          <w:lang w:eastAsia="it-IT"/>
        </w:rPr>
      </w:pPr>
    </w:p>
    <w:p w14:paraId="0F28C07B" w14:textId="77777777" w:rsidR="00DC28D5" w:rsidRPr="0009315F" w:rsidRDefault="00DC28D5" w:rsidP="009E6FC7">
      <w:pPr>
        <w:pStyle w:val="Titolo1"/>
        <w:numPr>
          <w:ilvl w:val="0"/>
          <w:numId w:val="0"/>
        </w:numPr>
      </w:pPr>
      <w:bookmarkStart w:id="6" w:name="_Toc225863526"/>
      <w:r w:rsidRPr="0009315F">
        <w:rPr>
          <w:rFonts w:cs="Times New Roman"/>
        </w:rPr>
        <w:t>D. SISTEMA DI MONITORAGGIO</w:t>
      </w:r>
      <w:bookmarkEnd w:id="6"/>
    </w:p>
    <w:p w14:paraId="296CDF9D" w14:textId="77777777" w:rsidR="009E6FC7" w:rsidRDefault="009E6FC7" w:rsidP="009E6FC7">
      <w:pPr>
        <w:pStyle w:val="Titolo2"/>
        <w:rPr>
          <w:lang w:val="it-IT"/>
        </w:rPr>
      </w:pPr>
    </w:p>
    <w:p w14:paraId="50CB54F6" w14:textId="77777777" w:rsidR="00DC28D5" w:rsidRPr="009E6FC7" w:rsidRDefault="00DC28D5" w:rsidP="009E6FC7">
      <w:pPr>
        <w:pStyle w:val="Titolo2"/>
      </w:pPr>
      <w:bookmarkStart w:id="7" w:name="_Toc225863527"/>
      <w:r w:rsidRPr="009E6FC7">
        <w:t>D.1 ATTIVITÀ SVOLTA DAL RPCT E GRUPPO DI SUPPORTO</w:t>
      </w:r>
      <w:bookmarkEnd w:id="7"/>
      <w:r w:rsidRPr="009E6FC7">
        <w:t xml:space="preserve"> </w:t>
      </w:r>
    </w:p>
    <w:p w14:paraId="238753C9" w14:textId="77777777" w:rsidR="009E6FC7" w:rsidRDefault="009E6FC7">
      <w:pPr>
        <w:shd w:val="clear" w:color="auto" w:fill="FFFFFF"/>
        <w:spacing w:after="150" w:line="240" w:lineRule="auto"/>
        <w:contextualSpacing/>
        <w:jc w:val="both"/>
        <w:rPr>
          <w:rFonts w:ascii="Verdana" w:hAnsi="Verdana"/>
          <w:sz w:val="21"/>
          <w:szCs w:val="21"/>
        </w:rPr>
      </w:pPr>
    </w:p>
    <w:p w14:paraId="19A60782" w14:textId="77777777" w:rsidR="00683B1B" w:rsidRPr="00B7687C" w:rsidRDefault="00906F52">
      <w:pPr>
        <w:shd w:val="clear" w:color="auto" w:fill="FFFFFF"/>
        <w:spacing w:after="150" w:line="240" w:lineRule="auto"/>
        <w:contextualSpacing/>
        <w:jc w:val="both"/>
        <w:rPr>
          <w:rFonts w:ascii="Verdana" w:hAnsi="Verdana"/>
          <w:sz w:val="21"/>
          <w:szCs w:val="21"/>
        </w:rPr>
      </w:pPr>
      <w:r w:rsidRPr="00B7687C">
        <w:rPr>
          <w:rFonts w:ascii="Verdana" w:hAnsi="Verdana"/>
          <w:sz w:val="21"/>
          <w:szCs w:val="21"/>
        </w:rPr>
        <w:t>Di seguito sono</w:t>
      </w:r>
      <w:r w:rsidR="00683B1B" w:rsidRPr="00B7687C">
        <w:rPr>
          <w:rFonts w:ascii="Verdana" w:hAnsi="Verdana"/>
          <w:sz w:val="21"/>
          <w:szCs w:val="21"/>
        </w:rPr>
        <w:t xml:space="preserve"> riportate le azioni di monitoraggio e di attuazione del PTPCT</w:t>
      </w:r>
      <w:r w:rsidR="008524D5" w:rsidRPr="00B7687C">
        <w:rPr>
          <w:rFonts w:ascii="Verdana" w:hAnsi="Verdana"/>
          <w:sz w:val="21"/>
          <w:szCs w:val="21"/>
        </w:rPr>
        <w:t xml:space="preserve"> svolte nel corso del 202</w:t>
      </w:r>
      <w:r w:rsidR="005209DC">
        <w:rPr>
          <w:rFonts w:ascii="Verdana" w:hAnsi="Verdana"/>
          <w:sz w:val="21"/>
          <w:szCs w:val="21"/>
        </w:rPr>
        <w:t>5</w:t>
      </w:r>
      <w:r w:rsidR="00683B1B" w:rsidRPr="00B7687C">
        <w:rPr>
          <w:rFonts w:ascii="Verdana" w:hAnsi="Verdana"/>
          <w:sz w:val="21"/>
          <w:szCs w:val="21"/>
        </w:rPr>
        <w:t>:</w:t>
      </w:r>
    </w:p>
    <w:p w14:paraId="117AD6A1" w14:textId="77777777" w:rsidR="00683B1B" w:rsidRDefault="00683B1B" w:rsidP="00327D29">
      <w:pPr>
        <w:pStyle w:val="Nessunaspaziatura"/>
        <w:numPr>
          <w:ilvl w:val="0"/>
          <w:numId w:val="13"/>
        </w:numPr>
        <w:jc w:val="both"/>
        <w:rPr>
          <w:rFonts w:ascii="Verdana" w:hAnsi="Verdana"/>
          <w:sz w:val="21"/>
          <w:szCs w:val="21"/>
        </w:rPr>
      </w:pPr>
      <w:r w:rsidRPr="001B51F0">
        <w:rPr>
          <w:rFonts w:ascii="Verdana" w:hAnsi="Verdana"/>
          <w:sz w:val="21"/>
          <w:szCs w:val="21"/>
        </w:rPr>
        <w:t>verifica</w:t>
      </w:r>
      <w:r w:rsidR="00766CED" w:rsidRPr="001B51F0">
        <w:rPr>
          <w:rFonts w:ascii="Verdana" w:hAnsi="Verdana"/>
          <w:sz w:val="21"/>
          <w:szCs w:val="21"/>
        </w:rPr>
        <w:t xml:space="preserve"> annuale</w:t>
      </w:r>
      <w:r w:rsidRPr="001B51F0">
        <w:rPr>
          <w:rFonts w:ascii="Verdana" w:hAnsi="Verdana"/>
          <w:sz w:val="21"/>
          <w:szCs w:val="21"/>
        </w:rPr>
        <w:t xml:space="preserve"> degli adempimenti in tema di pubblicazioni ai fini della trasparenza</w:t>
      </w:r>
      <w:r w:rsidR="00766CED" w:rsidRPr="001B51F0">
        <w:rPr>
          <w:rFonts w:ascii="Verdana" w:hAnsi="Verdana"/>
          <w:sz w:val="21"/>
          <w:szCs w:val="21"/>
        </w:rPr>
        <w:t xml:space="preserve"> in occasione del rilascio dell’attestazione da parte </w:t>
      </w:r>
      <w:r w:rsidRPr="001B51F0">
        <w:rPr>
          <w:rFonts w:ascii="Verdana" w:hAnsi="Verdana"/>
          <w:sz w:val="21"/>
          <w:szCs w:val="21"/>
        </w:rPr>
        <w:t xml:space="preserve">dell’Organismo Aziendale di Valutazione. </w:t>
      </w:r>
      <w:r w:rsidR="00766CED" w:rsidRPr="001B51F0">
        <w:rPr>
          <w:rFonts w:ascii="Verdana" w:hAnsi="Verdana"/>
          <w:sz w:val="21"/>
          <w:szCs w:val="21"/>
        </w:rPr>
        <w:t>A</w:t>
      </w:r>
      <w:r w:rsidRPr="001B51F0">
        <w:rPr>
          <w:rFonts w:ascii="Verdana" w:hAnsi="Verdana"/>
          <w:sz w:val="21"/>
          <w:szCs w:val="21"/>
        </w:rPr>
        <w:t xml:space="preserve">ttività di </w:t>
      </w:r>
      <w:r w:rsidR="009424BC" w:rsidRPr="001B51F0">
        <w:rPr>
          <w:rFonts w:ascii="Verdana" w:hAnsi="Verdana"/>
          <w:sz w:val="21"/>
          <w:szCs w:val="21"/>
        </w:rPr>
        <w:t xml:space="preserve">monitoraggio e </w:t>
      </w:r>
      <w:r w:rsidR="00766CED" w:rsidRPr="001B51F0">
        <w:rPr>
          <w:rFonts w:ascii="Verdana" w:hAnsi="Verdana"/>
          <w:sz w:val="21"/>
          <w:szCs w:val="21"/>
        </w:rPr>
        <w:t>segnalazione delle scadenze</w:t>
      </w:r>
      <w:r w:rsidR="009424BC" w:rsidRPr="001B51F0">
        <w:rPr>
          <w:rFonts w:ascii="Verdana" w:hAnsi="Verdana"/>
          <w:sz w:val="21"/>
          <w:szCs w:val="21"/>
        </w:rPr>
        <w:t xml:space="preserve"> di pubblicazione agli interlocutori individuati</w:t>
      </w:r>
      <w:r w:rsidRPr="001B51F0">
        <w:rPr>
          <w:rFonts w:ascii="Verdana" w:hAnsi="Verdana"/>
          <w:sz w:val="21"/>
          <w:szCs w:val="21"/>
        </w:rPr>
        <w:t>;</w:t>
      </w:r>
    </w:p>
    <w:p w14:paraId="30888E25" w14:textId="77777777" w:rsidR="00547575" w:rsidRDefault="00547575" w:rsidP="00547575">
      <w:pPr>
        <w:pStyle w:val="Nessunaspaziatura"/>
        <w:ind w:left="720"/>
        <w:jc w:val="both"/>
        <w:rPr>
          <w:rFonts w:ascii="Verdana" w:hAnsi="Verdana"/>
          <w:sz w:val="21"/>
          <w:szCs w:val="21"/>
        </w:rPr>
      </w:pPr>
    </w:p>
    <w:p w14:paraId="01C1E901" w14:textId="77777777" w:rsidR="001B51F0" w:rsidRPr="00CC39DF" w:rsidRDefault="00547575" w:rsidP="00327D29">
      <w:pPr>
        <w:numPr>
          <w:ilvl w:val="0"/>
          <w:numId w:val="13"/>
        </w:numPr>
        <w:shd w:val="clear" w:color="auto" w:fill="FFFFFF"/>
        <w:spacing w:after="150" w:line="240" w:lineRule="auto"/>
        <w:contextualSpacing/>
        <w:jc w:val="both"/>
        <w:rPr>
          <w:rFonts w:ascii="Verdana" w:hAnsi="Verdana"/>
          <w:sz w:val="21"/>
          <w:szCs w:val="21"/>
        </w:rPr>
      </w:pPr>
      <w:r w:rsidRPr="00CC39DF">
        <w:rPr>
          <w:rFonts w:ascii="Verdana" w:hAnsi="Verdana"/>
          <w:sz w:val="21"/>
          <w:szCs w:val="21"/>
        </w:rPr>
        <w:t>redazione della Relazione Annuale RPCT pubblicata il 3</w:t>
      </w:r>
      <w:r w:rsidR="00F53A99">
        <w:rPr>
          <w:rFonts w:ascii="Verdana" w:hAnsi="Verdana"/>
          <w:sz w:val="21"/>
          <w:szCs w:val="21"/>
        </w:rPr>
        <w:t>1</w:t>
      </w:r>
      <w:r w:rsidRPr="00CC39DF">
        <w:rPr>
          <w:rFonts w:ascii="Verdana" w:hAnsi="Verdana"/>
          <w:sz w:val="21"/>
          <w:szCs w:val="21"/>
        </w:rPr>
        <w:t xml:space="preserve"> gennaio 202</w:t>
      </w:r>
      <w:r w:rsidR="005209DC">
        <w:rPr>
          <w:rFonts w:ascii="Verdana" w:hAnsi="Verdana"/>
          <w:sz w:val="21"/>
          <w:szCs w:val="21"/>
        </w:rPr>
        <w:t>6</w:t>
      </w:r>
      <w:r w:rsidRPr="00CC39DF">
        <w:rPr>
          <w:rFonts w:ascii="Verdana" w:hAnsi="Verdana"/>
          <w:sz w:val="21"/>
          <w:szCs w:val="21"/>
        </w:rPr>
        <w:t xml:space="preserve"> che riporta </w:t>
      </w:r>
      <w:r w:rsidR="0093034E" w:rsidRPr="00CC39DF">
        <w:rPr>
          <w:rFonts w:ascii="Verdana" w:hAnsi="Verdana"/>
          <w:sz w:val="21"/>
          <w:szCs w:val="21"/>
        </w:rPr>
        <w:t>l’aggiornamento di</w:t>
      </w:r>
      <w:r w:rsidRPr="00CC39DF">
        <w:rPr>
          <w:rFonts w:ascii="Verdana" w:hAnsi="Verdana"/>
          <w:sz w:val="21"/>
          <w:szCs w:val="21"/>
        </w:rPr>
        <w:t xml:space="preserve"> informazioni</w:t>
      </w:r>
      <w:r w:rsidR="0093034E" w:rsidRPr="00CC39DF">
        <w:rPr>
          <w:rFonts w:ascii="Verdana" w:hAnsi="Verdana"/>
          <w:sz w:val="21"/>
          <w:szCs w:val="21"/>
        </w:rPr>
        <w:t xml:space="preserve"> e dati</w:t>
      </w:r>
      <w:r w:rsidRPr="00CC39DF">
        <w:rPr>
          <w:rFonts w:ascii="Verdana" w:hAnsi="Verdana"/>
          <w:sz w:val="21"/>
          <w:szCs w:val="21"/>
        </w:rPr>
        <w:t xml:space="preserve"> su quanto avvenuto nel 202</w:t>
      </w:r>
      <w:r w:rsidR="005209DC">
        <w:rPr>
          <w:rFonts w:ascii="Verdana" w:hAnsi="Verdana"/>
          <w:sz w:val="21"/>
          <w:szCs w:val="21"/>
        </w:rPr>
        <w:t>5</w:t>
      </w:r>
      <w:r w:rsidR="00BA7A7F" w:rsidRPr="00CC39DF">
        <w:rPr>
          <w:rFonts w:ascii="Verdana" w:hAnsi="Verdana"/>
          <w:sz w:val="21"/>
          <w:szCs w:val="21"/>
        </w:rPr>
        <w:t xml:space="preserve"> secondo lo schema di compilazione richiesto da ANAC</w:t>
      </w:r>
      <w:r w:rsidRPr="00CC39DF">
        <w:rPr>
          <w:rFonts w:ascii="Verdana" w:hAnsi="Verdana"/>
          <w:sz w:val="21"/>
          <w:szCs w:val="21"/>
        </w:rPr>
        <w:t>;</w:t>
      </w:r>
    </w:p>
    <w:p w14:paraId="05C8F681" w14:textId="191C303E" w:rsidR="005946C3" w:rsidRPr="00885DFC" w:rsidRDefault="001B51F0" w:rsidP="00327D29">
      <w:pPr>
        <w:pStyle w:val="Nessunaspaziatura"/>
        <w:numPr>
          <w:ilvl w:val="0"/>
          <w:numId w:val="13"/>
        </w:numPr>
        <w:jc w:val="both"/>
        <w:rPr>
          <w:rFonts w:ascii="Verdana" w:hAnsi="Verdana"/>
          <w:sz w:val="21"/>
          <w:szCs w:val="21"/>
        </w:rPr>
      </w:pPr>
      <w:r w:rsidRPr="00CC39DF">
        <w:rPr>
          <w:rFonts w:ascii="Verdana" w:hAnsi="Verdana"/>
          <w:sz w:val="21"/>
          <w:szCs w:val="21"/>
        </w:rPr>
        <w:t>invio a tutti i dipendenti della richiesta di compilazione d</w:t>
      </w:r>
      <w:r w:rsidR="00D95388">
        <w:rPr>
          <w:rFonts w:ascii="Verdana" w:hAnsi="Verdana"/>
          <w:sz w:val="21"/>
          <w:szCs w:val="21"/>
        </w:rPr>
        <w:t>el</w:t>
      </w:r>
      <w:r w:rsidRPr="00CC39DF">
        <w:rPr>
          <w:rFonts w:ascii="Verdana" w:hAnsi="Verdana"/>
          <w:sz w:val="21"/>
          <w:szCs w:val="21"/>
        </w:rPr>
        <w:t xml:space="preserve"> Modulo di dichiarazione pubblica sul conflitto di interessi</w:t>
      </w:r>
      <w:r w:rsidR="00D95388">
        <w:rPr>
          <w:rFonts w:ascii="Verdana" w:hAnsi="Verdana"/>
          <w:sz w:val="21"/>
          <w:szCs w:val="21"/>
        </w:rPr>
        <w:t xml:space="preserve"> </w:t>
      </w:r>
      <w:r w:rsidR="00D95388" w:rsidRPr="00885DFC">
        <w:rPr>
          <w:rFonts w:ascii="Verdana" w:hAnsi="Verdana"/>
          <w:sz w:val="21"/>
          <w:szCs w:val="21"/>
        </w:rPr>
        <w:t>(revisionato nel 2025)</w:t>
      </w:r>
      <w:r w:rsidR="005209DC" w:rsidRPr="00885DFC">
        <w:rPr>
          <w:rFonts w:ascii="Verdana" w:hAnsi="Verdana"/>
          <w:sz w:val="21"/>
          <w:szCs w:val="21"/>
        </w:rPr>
        <w:t>,</w:t>
      </w:r>
      <w:r w:rsidRPr="00885DFC">
        <w:rPr>
          <w:rFonts w:ascii="Verdana" w:hAnsi="Verdana"/>
          <w:sz w:val="21"/>
          <w:szCs w:val="21"/>
        </w:rPr>
        <w:t xml:space="preserve"> corredato di guida esplicativa. La </w:t>
      </w:r>
      <w:r w:rsidR="005209DC" w:rsidRPr="00885DFC">
        <w:rPr>
          <w:rFonts w:ascii="Verdana" w:hAnsi="Verdana"/>
          <w:sz w:val="21"/>
          <w:szCs w:val="21"/>
        </w:rPr>
        <w:t>quart</w:t>
      </w:r>
      <w:r w:rsidRPr="00885DFC">
        <w:rPr>
          <w:rFonts w:ascii="Verdana" w:hAnsi="Verdana"/>
          <w:sz w:val="21"/>
          <w:szCs w:val="21"/>
        </w:rPr>
        <w:t xml:space="preserve">a raccolta annuale delle dichiarazioni dei dipendenti si è conclusa il </w:t>
      </w:r>
      <w:r w:rsidR="005209DC" w:rsidRPr="00885DFC">
        <w:rPr>
          <w:rFonts w:ascii="Verdana" w:hAnsi="Verdana"/>
          <w:sz w:val="21"/>
          <w:szCs w:val="21"/>
        </w:rPr>
        <w:t>31</w:t>
      </w:r>
      <w:r w:rsidRPr="00885DFC">
        <w:rPr>
          <w:rFonts w:ascii="Verdana" w:hAnsi="Verdana"/>
          <w:sz w:val="21"/>
          <w:szCs w:val="21"/>
        </w:rPr>
        <w:t xml:space="preserve"> </w:t>
      </w:r>
      <w:r w:rsidR="00457722" w:rsidRPr="00885DFC">
        <w:rPr>
          <w:rFonts w:ascii="Verdana" w:hAnsi="Verdana"/>
          <w:sz w:val="21"/>
          <w:szCs w:val="21"/>
        </w:rPr>
        <w:t>dic</w:t>
      </w:r>
      <w:r w:rsidRPr="00885DFC">
        <w:rPr>
          <w:rFonts w:ascii="Verdana" w:hAnsi="Verdana"/>
          <w:sz w:val="21"/>
          <w:szCs w:val="21"/>
        </w:rPr>
        <w:t>embre 202</w:t>
      </w:r>
      <w:r w:rsidR="005209DC" w:rsidRPr="00885DFC">
        <w:rPr>
          <w:rFonts w:ascii="Verdana" w:hAnsi="Verdana"/>
          <w:sz w:val="21"/>
          <w:szCs w:val="21"/>
        </w:rPr>
        <w:t>5</w:t>
      </w:r>
      <w:r w:rsidR="000D1817" w:rsidRPr="00885DFC">
        <w:rPr>
          <w:rFonts w:ascii="Verdana" w:hAnsi="Verdana"/>
          <w:sz w:val="21"/>
          <w:szCs w:val="21"/>
        </w:rPr>
        <w:t xml:space="preserve"> con un buon indice di risposta</w:t>
      </w:r>
      <w:r w:rsidRPr="00885DFC">
        <w:rPr>
          <w:rFonts w:ascii="Verdana" w:hAnsi="Verdana"/>
          <w:sz w:val="21"/>
          <w:szCs w:val="21"/>
        </w:rPr>
        <w:t xml:space="preserve">; </w:t>
      </w:r>
      <w:r w:rsidR="005946C3" w:rsidRPr="00885DFC">
        <w:rPr>
          <w:rFonts w:ascii="Verdana" w:hAnsi="Verdana"/>
          <w:sz w:val="21"/>
          <w:szCs w:val="21"/>
        </w:rPr>
        <w:t>sono state segnalate solo alcune relazioni di parentela fra dipendenti che però non rientrano nelle fattispecie che configurano situazioni di conflitto di interessi.</w:t>
      </w:r>
    </w:p>
    <w:p w14:paraId="411D2428" w14:textId="77777777" w:rsidR="005946C3" w:rsidRDefault="005946C3" w:rsidP="005946C3">
      <w:pPr>
        <w:pStyle w:val="Nessunaspaziatura"/>
        <w:ind w:left="720"/>
        <w:jc w:val="both"/>
        <w:rPr>
          <w:rFonts w:ascii="Verdana" w:hAnsi="Verdana"/>
          <w:sz w:val="21"/>
          <w:szCs w:val="21"/>
        </w:rPr>
      </w:pPr>
    </w:p>
    <w:p w14:paraId="42E30986" w14:textId="156941BF" w:rsidR="00770C29" w:rsidRPr="002A313F" w:rsidRDefault="00C52D45" w:rsidP="00327D29">
      <w:pPr>
        <w:pStyle w:val="Nessunaspaziatura"/>
        <w:numPr>
          <w:ilvl w:val="0"/>
          <w:numId w:val="13"/>
        </w:numPr>
        <w:jc w:val="both"/>
        <w:rPr>
          <w:rFonts w:ascii="Verdana" w:hAnsi="Verdana"/>
          <w:sz w:val="10"/>
          <w:szCs w:val="21"/>
        </w:rPr>
      </w:pPr>
      <w:r w:rsidRPr="00885DFC">
        <w:rPr>
          <w:rFonts w:ascii="Verdana" w:hAnsi="Verdana"/>
          <w:sz w:val="21"/>
          <w:szCs w:val="21"/>
        </w:rPr>
        <w:t>raccolta e</w:t>
      </w:r>
      <w:r w:rsidR="005E0C50" w:rsidRPr="00885DFC">
        <w:rPr>
          <w:rFonts w:ascii="Verdana" w:hAnsi="Verdana"/>
          <w:sz w:val="21"/>
          <w:szCs w:val="21"/>
        </w:rPr>
        <w:t xml:space="preserve">, ove richiesta, </w:t>
      </w:r>
      <w:r w:rsidRPr="00885DFC">
        <w:rPr>
          <w:rFonts w:ascii="Verdana" w:hAnsi="Verdana"/>
          <w:sz w:val="21"/>
          <w:szCs w:val="21"/>
        </w:rPr>
        <w:t>pubblicazione</w:t>
      </w:r>
      <w:r w:rsidR="008209DB" w:rsidRPr="00885DFC">
        <w:rPr>
          <w:rFonts w:ascii="Verdana" w:hAnsi="Verdana"/>
          <w:sz w:val="21"/>
          <w:szCs w:val="21"/>
        </w:rPr>
        <w:t xml:space="preserve"> </w:t>
      </w:r>
      <w:r w:rsidRPr="00CC39DF">
        <w:rPr>
          <w:rFonts w:ascii="Verdana" w:hAnsi="Verdana"/>
          <w:sz w:val="21"/>
          <w:szCs w:val="21"/>
        </w:rPr>
        <w:t>delle dichiarazioni di inesistenza di cause di inconferibilità e di incompatibilità, di ineleggibilità e decadenza, di in</w:t>
      </w:r>
      <w:r w:rsidR="008209DB" w:rsidRPr="00CC39DF">
        <w:rPr>
          <w:rFonts w:ascii="Verdana" w:hAnsi="Verdana"/>
          <w:sz w:val="21"/>
          <w:szCs w:val="21"/>
        </w:rPr>
        <w:t xml:space="preserve">terdizioni adottate da uno Stato membro dell’Unione Europea ai sensi del </w:t>
      </w:r>
      <w:proofErr w:type="spellStart"/>
      <w:r w:rsidR="008209DB" w:rsidRPr="00CC39DF">
        <w:rPr>
          <w:rFonts w:ascii="Verdana" w:hAnsi="Verdana"/>
          <w:sz w:val="21"/>
          <w:szCs w:val="21"/>
        </w:rPr>
        <w:t>D.Lgs.</w:t>
      </w:r>
      <w:proofErr w:type="spellEnd"/>
      <w:r w:rsidR="008209DB" w:rsidRPr="00CC39DF">
        <w:rPr>
          <w:rFonts w:ascii="Verdana" w:hAnsi="Verdana"/>
          <w:sz w:val="21"/>
          <w:szCs w:val="21"/>
        </w:rPr>
        <w:t xml:space="preserve"> 39/2013 e delle altre disposizioni normative applicabili per l’assunzione dell’incarico di presidente e componente </w:t>
      </w:r>
      <w:r w:rsidR="008209DB" w:rsidRPr="00885DFC">
        <w:rPr>
          <w:rFonts w:ascii="Verdana" w:hAnsi="Verdana"/>
          <w:sz w:val="21"/>
          <w:szCs w:val="21"/>
        </w:rPr>
        <w:t xml:space="preserve">del </w:t>
      </w:r>
      <w:r w:rsidR="0080073A" w:rsidRPr="00885DFC">
        <w:rPr>
          <w:rFonts w:ascii="Verdana" w:hAnsi="Verdana"/>
          <w:sz w:val="21"/>
          <w:szCs w:val="21"/>
        </w:rPr>
        <w:t>Collegio Sindacale</w:t>
      </w:r>
      <w:r w:rsidR="008209DB" w:rsidRPr="00885DFC">
        <w:rPr>
          <w:rFonts w:ascii="Verdana" w:hAnsi="Verdana"/>
          <w:sz w:val="21"/>
          <w:szCs w:val="21"/>
        </w:rPr>
        <w:t xml:space="preserve">, attestazione di assenza di situazioni, anche potenziali, di conflitto d’interesse con riferimento ai componenti </w:t>
      </w:r>
      <w:r w:rsidR="0080073A" w:rsidRPr="00885DFC">
        <w:rPr>
          <w:rFonts w:ascii="Verdana" w:hAnsi="Verdana"/>
          <w:sz w:val="21"/>
          <w:szCs w:val="21"/>
        </w:rPr>
        <w:t xml:space="preserve">il cui mandato è stato oggetto di </w:t>
      </w:r>
      <w:r w:rsidR="0080073A" w:rsidRPr="00886DBC">
        <w:rPr>
          <w:rFonts w:ascii="Verdana" w:hAnsi="Verdana"/>
          <w:sz w:val="21"/>
          <w:szCs w:val="21"/>
        </w:rPr>
        <w:t>rinnovo nel corso del 2025</w:t>
      </w:r>
      <w:r w:rsidR="008209DB" w:rsidRPr="00886DBC">
        <w:rPr>
          <w:rFonts w:ascii="Verdana" w:hAnsi="Verdana"/>
          <w:sz w:val="21"/>
          <w:szCs w:val="21"/>
        </w:rPr>
        <w:t>;</w:t>
      </w:r>
      <w:r w:rsidR="005209DC" w:rsidRPr="00886DBC">
        <w:rPr>
          <w:rFonts w:ascii="Verdana" w:hAnsi="Verdana"/>
          <w:sz w:val="21"/>
          <w:szCs w:val="21"/>
        </w:rPr>
        <w:t xml:space="preserve"> è allo studio la delibera ANAC </w:t>
      </w:r>
      <w:r w:rsidR="005B5041" w:rsidRPr="00886DBC">
        <w:rPr>
          <w:rFonts w:ascii="Verdana" w:hAnsi="Verdana"/>
          <w:sz w:val="21"/>
          <w:szCs w:val="21"/>
        </w:rPr>
        <w:t xml:space="preserve">n. </w:t>
      </w:r>
      <w:r w:rsidR="005209DC" w:rsidRPr="00886DBC">
        <w:rPr>
          <w:rFonts w:ascii="Verdana" w:hAnsi="Verdana"/>
          <w:sz w:val="21"/>
          <w:szCs w:val="21"/>
        </w:rPr>
        <w:t xml:space="preserve">464 del 26 novembre 2025 </w:t>
      </w:r>
      <w:r w:rsidR="002177E9" w:rsidRPr="00886DBC">
        <w:rPr>
          <w:rFonts w:ascii="Verdana" w:hAnsi="Verdana"/>
          <w:sz w:val="21"/>
          <w:szCs w:val="21"/>
        </w:rPr>
        <w:t xml:space="preserve">sull’esercizio del potere di vigilanza e accertamento, da parte del RPCT e dell’ANAC, in materia di inconferibilità e incompatibilità di incarichi di cui al </w:t>
      </w:r>
      <w:proofErr w:type="spellStart"/>
      <w:r w:rsidR="00886DBC" w:rsidRPr="00886DBC">
        <w:rPr>
          <w:rFonts w:ascii="Verdana" w:hAnsi="Verdana"/>
          <w:sz w:val="21"/>
          <w:szCs w:val="21"/>
        </w:rPr>
        <w:t>D</w:t>
      </w:r>
      <w:r w:rsidR="002177E9" w:rsidRPr="00886DBC">
        <w:rPr>
          <w:rFonts w:ascii="Verdana" w:hAnsi="Verdana"/>
          <w:sz w:val="21"/>
          <w:szCs w:val="21"/>
        </w:rPr>
        <w:t>.</w:t>
      </w:r>
      <w:r w:rsidR="00886DBC" w:rsidRPr="00886DBC">
        <w:rPr>
          <w:rFonts w:ascii="Verdana" w:hAnsi="Verdana"/>
          <w:sz w:val="21"/>
          <w:szCs w:val="21"/>
        </w:rPr>
        <w:t>L</w:t>
      </w:r>
      <w:r w:rsidR="002177E9" w:rsidRPr="00886DBC">
        <w:rPr>
          <w:rFonts w:ascii="Verdana" w:hAnsi="Verdana"/>
          <w:sz w:val="21"/>
          <w:szCs w:val="21"/>
        </w:rPr>
        <w:t>gs.</w:t>
      </w:r>
      <w:proofErr w:type="spellEnd"/>
      <w:r w:rsidR="002177E9" w:rsidRPr="00886DBC">
        <w:rPr>
          <w:rFonts w:ascii="Verdana" w:hAnsi="Verdana"/>
          <w:sz w:val="21"/>
          <w:szCs w:val="21"/>
        </w:rPr>
        <w:t xml:space="preserve"> n. 39 del 2013 </w:t>
      </w:r>
      <w:r w:rsidR="005209DC" w:rsidRPr="00886DBC">
        <w:rPr>
          <w:rFonts w:ascii="Verdana" w:hAnsi="Verdana"/>
          <w:sz w:val="21"/>
          <w:szCs w:val="21"/>
        </w:rPr>
        <w:t>per valutare</w:t>
      </w:r>
      <w:r w:rsidR="005209DC" w:rsidRPr="00885DFC">
        <w:rPr>
          <w:rFonts w:ascii="Verdana" w:hAnsi="Verdana"/>
          <w:sz w:val="21"/>
          <w:szCs w:val="21"/>
        </w:rPr>
        <w:t xml:space="preserve"> eventuali correttivi</w:t>
      </w:r>
      <w:r w:rsidR="0080073A" w:rsidRPr="00885DFC">
        <w:rPr>
          <w:rFonts w:ascii="Verdana" w:hAnsi="Verdana"/>
          <w:sz w:val="21"/>
          <w:szCs w:val="21"/>
        </w:rPr>
        <w:t>/migliorie</w:t>
      </w:r>
      <w:r w:rsidR="005209DC" w:rsidRPr="00885DFC">
        <w:rPr>
          <w:rFonts w:ascii="Verdana" w:hAnsi="Verdana"/>
          <w:sz w:val="21"/>
          <w:szCs w:val="21"/>
        </w:rPr>
        <w:t xml:space="preserve"> da apportare nel 2026</w:t>
      </w:r>
      <w:r w:rsidR="005B5041" w:rsidRPr="00885DFC">
        <w:rPr>
          <w:rFonts w:ascii="Verdana" w:hAnsi="Verdana"/>
          <w:sz w:val="21"/>
          <w:szCs w:val="21"/>
        </w:rPr>
        <w:t>;</w:t>
      </w:r>
    </w:p>
    <w:p w14:paraId="3B192DB8" w14:textId="77777777" w:rsidR="002A313F" w:rsidRDefault="002A313F" w:rsidP="002A313F">
      <w:pPr>
        <w:pStyle w:val="Paragrafoelenco"/>
        <w:rPr>
          <w:rFonts w:ascii="Verdana" w:hAnsi="Verdana"/>
          <w:sz w:val="10"/>
          <w:szCs w:val="21"/>
        </w:rPr>
      </w:pPr>
    </w:p>
    <w:p w14:paraId="2A3E824B" w14:textId="69A76FC9" w:rsidR="002A313F" w:rsidRPr="002A313F" w:rsidRDefault="002A313F" w:rsidP="00327D29">
      <w:pPr>
        <w:pStyle w:val="Nessunaspaziatura"/>
        <w:numPr>
          <w:ilvl w:val="0"/>
          <w:numId w:val="13"/>
        </w:numPr>
        <w:jc w:val="both"/>
        <w:rPr>
          <w:rFonts w:ascii="Verdana" w:hAnsi="Verdana"/>
          <w:sz w:val="21"/>
          <w:szCs w:val="21"/>
        </w:rPr>
      </w:pPr>
      <w:r w:rsidRPr="002A313F">
        <w:rPr>
          <w:rFonts w:ascii="Verdana" w:hAnsi="Verdana"/>
          <w:sz w:val="21"/>
          <w:szCs w:val="21"/>
        </w:rPr>
        <w:t>l’Ufficio di supporto al RPCT si è avvalso delle verifiche programmate dall’Organismo di Vigilanza 231 che in corso d’anno ha intervistato:</w:t>
      </w:r>
    </w:p>
    <w:p w14:paraId="1AF142C5" w14:textId="77777777" w:rsidR="004D19BA" w:rsidRPr="002A313F" w:rsidRDefault="004D19BA" w:rsidP="004D19BA">
      <w:pPr>
        <w:pStyle w:val="Nessunaspaziatura"/>
        <w:jc w:val="both"/>
        <w:rPr>
          <w:rFonts w:ascii="Verdana" w:hAnsi="Verdana"/>
          <w:sz w:val="10"/>
          <w:szCs w:val="21"/>
        </w:rPr>
      </w:pPr>
    </w:p>
    <w:p w14:paraId="4274CDFC" w14:textId="57785DD7" w:rsidR="005209DC" w:rsidRPr="002A313F" w:rsidRDefault="005209DC" w:rsidP="0080073A">
      <w:pPr>
        <w:shd w:val="clear" w:color="auto" w:fill="FFFFFF"/>
        <w:spacing w:after="150" w:line="240" w:lineRule="auto"/>
        <w:ind w:left="720"/>
        <w:contextualSpacing/>
        <w:jc w:val="both"/>
        <w:rPr>
          <w:rFonts w:ascii="Verdana" w:hAnsi="Verdana"/>
          <w:sz w:val="21"/>
          <w:szCs w:val="21"/>
        </w:rPr>
      </w:pPr>
    </w:p>
    <w:p w14:paraId="160F1B69" w14:textId="64A2ADFF" w:rsidR="005209DC" w:rsidRPr="002A313F" w:rsidRDefault="001D7E23"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il Coord</w:t>
      </w:r>
      <w:r w:rsidR="006E2D88" w:rsidRPr="002A313F">
        <w:rPr>
          <w:rFonts w:ascii="Verdana" w:hAnsi="Verdana"/>
          <w:sz w:val="21"/>
          <w:szCs w:val="21"/>
        </w:rPr>
        <w:t>inatore</w:t>
      </w:r>
      <w:r w:rsidRPr="002A313F">
        <w:rPr>
          <w:rFonts w:ascii="Verdana" w:hAnsi="Verdana"/>
          <w:sz w:val="21"/>
          <w:szCs w:val="21"/>
        </w:rPr>
        <w:t xml:space="preserve"> del Controllo di gestione</w:t>
      </w:r>
      <w:r w:rsidR="005209DC" w:rsidRPr="002A313F">
        <w:rPr>
          <w:rFonts w:ascii="Verdana" w:hAnsi="Verdana"/>
          <w:sz w:val="21"/>
          <w:szCs w:val="21"/>
        </w:rPr>
        <w:t xml:space="preserve"> e de</w:t>
      </w:r>
      <w:r w:rsidR="00885DFC" w:rsidRPr="002A313F">
        <w:rPr>
          <w:rFonts w:ascii="Verdana" w:hAnsi="Verdana"/>
          <w:sz w:val="21"/>
          <w:szCs w:val="21"/>
        </w:rPr>
        <w:t>i</w:t>
      </w:r>
      <w:r w:rsidR="005209DC" w:rsidRPr="002A313F">
        <w:rPr>
          <w:rFonts w:ascii="Verdana" w:hAnsi="Verdana"/>
          <w:sz w:val="21"/>
          <w:szCs w:val="21"/>
        </w:rPr>
        <w:t xml:space="preserve"> Sistemi Informativi</w:t>
      </w:r>
      <w:r w:rsidRPr="002A313F">
        <w:rPr>
          <w:rFonts w:ascii="Verdana" w:hAnsi="Verdana"/>
          <w:sz w:val="21"/>
          <w:szCs w:val="21"/>
        </w:rPr>
        <w:t xml:space="preserve">, </w:t>
      </w:r>
    </w:p>
    <w:p w14:paraId="5C9B3CF8" w14:textId="640F8301" w:rsidR="005209DC" w:rsidRPr="002A313F" w:rsidRDefault="001D7E23"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la Coord</w:t>
      </w:r>
      <w:r w:rsidR="006E2D88" w:rsidRPr="002A313F">
        <w:rPr>
          <w:rFonts w:ascii="Verdana" w:hAnsi="Verdana"/>
          <w:sz w:val="21"/>
          <w:szCs w:val="21"/>
        </w:rPr>
        <w:t>inatrice</w:t>
      </w:r>
      <w:r w:rsidRPr="002A313F">
        <w:rPr>
          <w:rFonts w:ascii="Verdana" w:hAnsi="Verdana"/>
          <w:sz w:val="21"/>
          <w:szCs w:val="21"/>
        </w:rPr>
        <w:t xml:space="preserve"> del Servizio </w:t>
      </w:r>
      <w:r w:rsidR="006E2D88" w:rsidRPr="002A313F">
        <w:rPr>
          <w:rFonts w:ascii="Verdana" w:hAnsi="Verdana"/>
          <w:sz w:val="21"/>
          <w:szCs w:val="21"/>
        </w:rPr>
        <w:t>Economico-finanziario e fiscale</w:t>
      </w:r>
      <w:r w:rsidRPr="002A313F">
        <w:rPr>
          <w:rFonts w:ascii="Verdana" w:hAnsi="Verdana"/>
          <w:sz w:val="21"/>
          <w:szCs w:val="21"/>
        </w:rPr>
        <w:t xml:space="preserve"> nonché RPCT</w:t>
      </w:r>
      <w:r w:rsidR="005209DC" w:rsidRPr="002A313F">
        <w:rPr>
          <w:rFonts w:ascii="Verdana" w:hAnsi="Verdana"/>
          <w:sz w:val="21"/>
          <w:szCs w:val="21"/>
        </w:rPr>
        <w:t>,</w:t>
      </w:r>
    </w:p>
    <w:p w14:paraId="4A7EEE47" w14:textId="46CD1800" w:rsidR="005209DC" w:rsidRPr="002A313F" w:rsidRDefault="0080073A"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w:t>
      </w:r>
      <w:r w:rsidR="005209DC" w:rsidRPr="002A313F">
        <w:rPr>
          <w:rFonts w:ascii="Verdana" w:hAnsi="Verdana"/>
          <w:sz w:val="21"/>
          <w:szCs w:val="21"/>
        </w:rPr>
        <w:t xml:space="preserve">a Coordinatrice delle attività di ricerca </w:t>
      </w:r>
      <w:r w:rsidRPr="002A313F">
        <w:rPr>
          <w:rFonts w:ascii="Verdana" w:hAnsi="Verdana"/>
          <w:sz w:val="21"/>
          <w:szCs w:val="21"/>
        </w:rPr>
        <w:t>e innovazione</w:t>
      </w:r>
      <w:r w:rsidR="00185278" w:rsidRPr="002A313F">
        <w:rPr>
          <w:rFonts w:ascii="Verdana" w:hAnsi="Verdana"/>
          <w:sz w:val="21"/>
          <w:szCs w:val="21"/>
        </w:rPr>
        <w:t xml:space="preserve"> scientifica</w:t>
      </w:r>
      <w:r w:rsidRPr="002A313F">
        <w:rPr>
          <w:rFonts w:ascii="Verdana" w:hAnsi="Verdana"/>
          <w:sz w:val="21"/>
          <w:szCs w:val="21"/>
        </w:rPr>
        <w:t xml:space="preserve"> </w:t>
      </w:r>
      <w:r w:rsidR="005209DC" w:rsidRPr="002A313F">
        <w:rPr>
          <w:rFonts w:ascii="Verdana" w:hAnsi="Verdana"/>
          <w:sz w:val="21"/>
          <w:szCs w:val="21"/>
        </w:rPr>
        <w:t xml:space="preserve">e </w:t>
      </w:r>
      <w:r w:rsidR="001D7E23" w:rsidRPr="002A313F">
        <w:rPr>
          <w:rFonts w:ascii="Verdana" w:hAnsi="Verdana"/>
          <w:sz w:val="21"/>
          <w:szCs w:val="21"/>
        </w:rPr>
        <w:t>l</w:t>
      </w:r>
      <w:r w:rsidR="005209DC" w:rsidRPr="002A313F">
        <w:rPr>
          <w:rFonts w:ascii="Verdana" w:hAnsi="Verdana"/>
          <w:sz w:val="21"/>
          <w:szCs w:val="21"/>
        </w:rPr>
        <w:t>e</w:t>
      </w:r>
      <w:r w:rsidR="001D7E23" w:rsidRPr="002A313F">
        <w:rPr>
          <w:rFonts w:ascii="Verdana" w:hAnsi="Verdana"/>
          <w:sz w:val="21"/>
          <w:szCs w:val="21"/>
        </w:rPr>
        <w:t xml:space="preserve"> Dirigent</w:t>
      </w:r>
      <w:r w:rsidR="005209DC" w:rsidRPr="002A313F">
        <w:rPr>
          <w:rFonts w:ascii="Verdana" w:hAnsi="Verdana"/>
          <w:sz w:val="21"/>
          <w:szCs w:val="21"/>
        </w:rPr>
        <w:t>i</w:t>
      </w:r>
      <w:r w:rsidR="001D7E23" w:rsidRPr="002A313F">
        <w:rPr>
          <w:rFonts w:ascii="Verdana" w:hAnsi="Verdana"/>
          <w:sz w:val="21"/>
          <w:szCs w:val="21"/>
        </w:rPr>
        <w:t xml:space="preserve"> dell</w:t>
      </w:r>
      <w:r w:rsidR="005209DC" w:rsidRPr="002A313F">
        <w:rPr>
          <w:rFonts w:ascii="Verdana" w:hAnsi="Verdana"/>
          <w:sz w:val="21"/>
          <w:szCs w:val="21"/>
        </w:rPr>
        <w:t xml:space="preserve">e </w:t>
      </w:r>
      <w:r w:rsidR="001D7E23" w:rsidRPr="002A313F">
        <w:rPr>
          <w:rFonts w:ascii="Verdana" w:hAnsi="Verdana"/>
          <w:sz w:val="21"/>
          <w:szCs w:val="21"/>
        </w:rPr>
        <w:t xml:space="preserve">Unità </w:t>
      </w:r>
      <w:r w:rsidR="005209DC" w:rsidRPr="002A313F">
        <w:rPr>
          <w:rFonts w:ascii="Verdana" w:hAnsi="Verdana"/>
          <w:sz w:val="21"/>
          <w:szCs w:val="21"/>
        </w:rPr>
        <w:t>Operative di degenza come referenti delle attività di ricerca,</w:t>
      </w:r>
    </w:p>
    <w:p w14:paraId="02880120" w14:textId="4388375A" w:rsidR="005209DC" w:rsidRPr="002A313F" w:rsidRDefault="00185278"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w:t>
      </w:r>
      <w:r w:rsidR="005209DC" w:rsidRPr="002A313F">
        <w:rPr>
          <w:rFonts w:ascii="Verdana" w:hAnsi="Verdana"/>
          <w:sz w:val="21"/>
          <w:szCs w:val="21"/>
        </w:rPr>
        <w:t>a Coordinatrice e gli operatori dell’Ufficio Acquisti,</w:t>
      </w:r>
    </w:p>
    <w:p w14:paraId="369FC83F" w14:textId="77777777" w:rsidR="005209DC" w:rsidRPr="00885DFC" w:rsidRDefault="00CC1E98"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la Direzione</w:t>
      </w:r>
      <w:r w:rsidRPr="00885DFC">
        <w:rPr>
          <w:rFonts w:ascii="Verdana" w:hAnsi="Verdana"/>
          <w:sz w:val="21"/>
          <w:szCs w:val="21"/>
        </w:rPr>
        <w:t xml:space="preserve"> Aziendale e la Direzione Sanitaria</w:t>
      </w:r>
      <w:r w:rsidR="005209DC" w:rsidRPr="00885DFC">
        <w:rPr>
          <w:rFonts w:ascii="Verdana" w:hAnsi="Verdana"/>
          <w:sz w:val="21"/>
          <w:szCs w:val="21"/>
        </w:rPr>
        <w:t>,</w:t>
      </w:r>
    </w:p>
    <w:p w14:paraId="2AD1E564" w14:textId="6EC48C71" w:rsidR="005209DC" w:rsidRPr="00885DFC" w:rsidRDefault="00185278" w:rsidP="00327D29">
      <w:pPr>
        <w:numPr>
          <w:ilvl w:val="1"/>
          <w:numId w:val="8"/>
        </w:numPr>
        <w:shd w:val="clear" w:color="auto" w:fill="FFFFFF"/>
        <w:spacing w:after="150" w:line="240" w:lineRule="auto"/>
        <w:contextualSpacing/>
        <w:jc w:val="both"/>
        <w:rPr>
          <w:rFonts w:ascii="Verdana" w:hAnsi="Verdana"/>
          <w:sz w:val="21"/>
          <w:szCs w:val="21"/>
        </w:rPr>
      </w:pPr>
      <w:r w:rsidRPr="00885DFC">
        <w:rPr>
          <w:rFonts w:ascii="Verdana" w:hAnsi="Verdana"/>
          <w:sz w:val="21"/>
          <w:szCs w:val="21"/>
        </w:rPr>
        <w:t xml:space="preserve">il </w:t>
      </w:r>
      <w:r w:rsidR="005209DC" w:rsidRPr="00885DFC">
        <w:rPr>
          <w:rFonts w:ascii="Verdana" w:hAnsi="Verdana"/>
          <w:sz w:val="21"/>
          <w:szCs w:val="21"/>
        </w:rPr>
        <w:t>Presidente</w:t>
      </w:r>
      <w:r w:rsidR="00885DFC">
        <w:rPr>
          <w:rFonts w:ascii="Verdana" w:hAnsi="Verdana"/>
          <w:sz w:val="21"/>
          <w:szCs w:val="21"/>
        </w:rPr>
        <w:t>, il</w:t>
      </w:r>
      <w:r w:rsidR="005209DC" w:rsidRPr="00885DFC">
        <w:rPr>
          <w:rFonts w:ascii="Verdana" w:hAnsi="Verdana"/>
          <w:sz w:val="21"/>
          <w:szCs w:val="21"/>
        </w:rPr>
        <w:t xml:space="preserve"> Segretario Generale</w:t>
      </w:r>
      <w:r w:rsidR="001E7392" w:rsidRPr="00885DFC">
        <w:rPr>
          <w:rFonts w:ascii="Verdana" w:hAnsi="Verdana"/>
          <w:color w:val="EE0000"/>
          <w:sz w:val="21"/>
          <w:szCs w:val="21"/>
        </w:rPr>
        <w:t xml:space="preserve"> </w:t>
      </w:r>
      <w:r w:rsidR="005209DC" w:rsidRPr="00885DFC">
        <w:rPr>
          <w:rFonts w:ascii="Verdana" w:hAnsi="Verdana"/>
          <w:sz w:val="21"/>
          <w:szCs w:val="21"/>
        </w:rPr>
        <w:t>della Fondazione Montecatone ETS</w:t>
      </w:r>
      <w:r w:rsidRPr="00885DFC">
        <w:rPr>
          <w:rFonts w:ascii="Verdana" w:hAnsi="Verdana"/>
          <w:sz w:val="21"/>
          <w:szCs w:val="21"/>
        </w:rPr>
        <w:t>.</w:t>
      </w:r>
    </w:p>
    <w:p w14:paraId="430F54B8" w14:textId="77777777" w:rsidR="00CE469D" w:rsidRDefault="00CE469D" w:rsidP="00CE469D">
      <w:pPr>
        <w:shd w:val="clear" w:color="auto" w:fill="FFFFFF"/>
        <w:spacing w:after="150" w:line="240" w:lineRule="auto"/>
        <w:ind w:left="720" w:firstLine="720"/>
        <w:contextualSpacing/>
        <w:jc w:val="both"/>
        <w:rPr>
          <w:rFonts w:ascii="Verdana" w:hAnsi="Verdana"/>
          <w:sz w:val="21"/>
          <w:szCs w:val="21"/>
          <w:highlight w:val="yellow"/>
        </w:rPr>
      </w:pPr>
    </w:p>
    <w:p w14:paraId="19FEC756" w14:textId="77777777" w:rsidR="00065794" w:rsidRDefault="00EE6E0D" w:rsidP="002A313F">
      <w:pPr>
        <w:shd w:val="clear" w:color="auto" w:fill="FFFFFF"/>
        <w:spacing w:after="150" w:line="240" w:lineRule="auto"/>
        <w:ind w:left="720"/>
        <w:contextualSpacing/>
        <w:jc w:val="both"/>
        <w:rPr>
          <w:rFonts w:ascii="Verdana" w:hAnsi="Verdana"/>
          <w:sz w:val="21"/>
          <w:szCs w:val="21"/>
        </w:rPr>
      </w:pPr>
      <w:r w:rsidRPr="00065794">
        <w:rPr>
          <w:rFonts w:ascii="Verdana" w:hAnsi="Verdana"/>
          <w:sz w:val="21"/>
          <w:szCs w:val="21"/>
        </w:rPr>
        <w:t>L’</w:t>
      </w:r>
      <w:proofErr w:type="spellStart"/>
      <w:r w:rsidRPr="00065794">
        <w:rPr>
          <w:rFonts w:ascii="Verdana" w:hAnsi="Verdana"/>
          <w:sz w:val="21"/>
          <w:szCs w:val="21"/>
        </w:rPr>
        <w:t>Od</w:t>
      </w:r>
      <w:r w:rsidR="00185278" w:rsidRPr="00065794">
        <w:rPr>
          <w:rFonts w:ascii="Verdana" w:hAnsi="Verdana"/>
          <w:sz w:val="21"/>
          <w:szCs w:val="21"/>
        </w:rPr>
        <w:t>V</w:t>
      </w:r>
      <w:proofErr w:type="spellEnd"/>
      <w:r w:rsidRPr="00065794">
        <w:rPr>
          <w:rFonts w:ascii="Verdana" w:hAnsi="Verdana"/>
          <w:sz w:val="21"/>
          <w:szCs w:val="21"/>
        </w:rPr>
        <w:t xml:space="preserve"> ha anche effettuato un sopralluogo presso l’Unità Operativa Gravi Cerebrolesioni</w:t>
      </w:r>
      <w:r w:rsidR="008420FF" w:rsidRPr="00065794">
        <w:rPr>
          <w:rFonts w:ascii="Verdana" w:hAnsi="Verdana"/>
          <w:sz w:val="21"/>
          <w:szCs w:val="21"/>
        </w:rPr>
        <w:t>, presso l’Ufficio Acquisti</w:t>
      </w:r>
      <w:r w:rsidRPr="00065794">
        <w:rPr>
          <w:rFonts w:ascii="Verdana" w:hAnsi="Verdana"/>
          <w:sz w:val="21"/>
          <w:szCs w:val="21"/>
        </w:rPr>
        <w:t xml:space="preserve"> e presso</w:t>
      </w:r>
      <w:r w:rsidR="00065794" w:rsidRPr="00065794">
        <w:rPr>
          <w:rFonts w:ascii="Verdana" w:hAnsi="Verdana"/>
          <w:sz w:val="21"/>
          <w:szCs w:val="21"/>
        </w:rPr>
        <w:t xml:space="preserve"> </w:t>
      </w:r>
      <w:r w:rsidR="00185278" w:rsidRPr="00065794">
        <w:rPr>
          <w:rFonts w:ascii="Verdana" w:hAnsi="Verdana"/>
          <w:sz w:val="21"/>
          <w:szCs w:val="21"/>
        </w:rPr>
        <w:t>i</w:t>
      </w:r>
      <w:r w:rsidR="00614321" w:rsidRPr="00065794">
        <w:rPr>
          <w:rFonts w:ascii="Verdana" w:hAnsi="Verdana"/>
          <w:sz w:val="21"/>
          <w:szCs w:val="21"/>
        </w:rPr>
        <w:t xml:space="preserve"> locali esterni </w:t>
      </w:r>
      <w:r w:rsidR="00185278" w:rsidRPr="00065794">
        <w:rPr>
          <w:rFonts w:ascii="Verdana" w:hAnsi="Verdana"/>
          <w:sz w:val="21"/>
          <w:szCs w:val="21"/>
        </w:rPr>
        <w:t xml:space="preserve">di stoccaggio e gestione </w:t>
      </w:r>
      <w:r w:rsidR="00614321" w:rsidRPr="00065794">
        <w:rPr>
          <w:rFonts w:ascii="Verdana" w:hAnsi="Verdana"/>
          <w:sz w:val="21"/>
          <w:szCs w:val="21"/>
        </w:rPr>
        <w:t xml:space="preserve">del magazzino centrale </w:t>
      </w:r>
      <w:r w:rsidR="002C1347" w:rsidRPr="00065794">
        <w:rPr>
          <w:rFonts w:ascii="Verdana" w:hAnsi="Verdana"/>
          <w:sz w:val="21"/>
          <w:szCs w:val="21"/>
        </w:rPr>
        <w:t xml:space="preserve">detenuti e </w:t>
      </w:r>
      <w:r w:rsidR="00614321" w:rsidRPr="00065794">
        <w:rPr>
          <w:rFonts w:ascii="Verdana" w:hAnsi="Verdana"/>
          <w:sz w:val="21"/>
          <w:szCs w:val="21"/>
        </w:rPr>
        <w:t>gestiti da una cooperativa sociale del territorio a cui la Società ha affidato il servizio</w:t>
      </w:r>
      <w:r w:rsidRPr="00065794">
        <w:rPr>
          <w:rFonts w:ascii="Verdana" w:hAnsi="Verdana"/>
          <w:sz w:val="21"/>
          <w:szCs w:val="21"/>
        </w:rPr>
        <w:t>;</w:t>
      </w:r>
      <w:r w:rsidR="00185278" w:rsidRPr="00065794">
        <w:t xml:space="preserve"> </w:t>
      </w:r>
      <w:r w:rsidR="001D7E23" w:rsidRPr="00065794">
        <w:rPr>
          <w:rFonts w:ascii="Verdana" w:hAnsi="Verdana"/>
          <w:sz w:val="21"/>
          <w:szCs w:val="21"/>
        </w:rPr>
        <w:t>ha</w:t>
      </w:r>
      <w:r w:rsidR="001D7E23" w:rsidRPr="004D19BA">
        <w:rPr>
          <w:rFonts w:ascii="Verdana" w:hAnsi="Verdana"/>
          <w:sz w:val="21"/>
          <w:szCs w:val="21"/>
        </w:rPr>
        <w:t xml:space="preserve"> inoltre acquisito documentazione da tutti i servizi</w:t>
      </w:r>
      <w:r w:rsidR="006E2D88" w:rsidRPr="004D19BA">
        <w:rPr>
          <w:rFonts w:ascii="Verdana" w:hAnsi="Verdana"/>
          <w:sz w:val="21"/>
          <w:szCs w:val="21"/>
        </w:rPr>
        <w:t xml:space="preserve"> dell’area tecnico-</w:t>
      </w:r>
      <w:r w:rsidR="001D7E23" w:rsidRPr="004D19BA">
        <w:rPr>
          <w:rFonts w:ascii="Verdana" w:hAnsi="Verdana"/>
          <w:sz w:val="21"/>
          <w:szCs w:val="21"/>
        </w:rPr>
        <w:t>amministrativ</w:t>
      </w:r>
      <w:r w:rsidR="006E2D88" w:rsidRPr="004D19BA">
        <w:rPr>
          <w:rFonts w:ascii="Verdana" w:hAnsi="Verdana"/>
          <w:sz w:val="21"/>
          <w:szCs w:val="21"/>
        </w:rPr>
        <w:t>a</w:t>
      </w:r>
      <w:r w:rsidR="001D7E23" w:rsidRPr="004D19BA">
        <w:rPr>
          <w:rFonts w:ascii="Verdana" w:hAnsi="Verdana"/>
          <w:sz w:val="21"/>
          <w:szCs w:val="21"/>
        </w:rPr>
        <w:t xml:space="preserve"> con riferimento ai temi sensibili per la sanità ovvero la gestione delle liste di attesa, della libera professione, degli incassi,</w:t>
      </w:r>
      <w:r w:rsidR="001D7E23" w:rsidRPr="004D19BA">
        <w:rPr>
          <w:rFonts w:ascii="Verdana" w:hAnsi="Verdana"/>
          <w:color w:val="FF0000"/>
          <w:sz w:val="21"/>
          <w:szCs w:val="21"/>
        </w:rPr>
        <w:t xml:space="preserve"> </w:t>
      </w:r>
      <w:r w:rsidR="001D7E23" w:rsidRPr="004D19BA">
        <w:rPr>
          <w:rFonts w:ascii="Verdana" w:hAnsi="Verdana"/>
          <w:sz w:val="21"/>
          <w:szCs w:val="21"/>
        </w:rPr>
        <w:t>dell’inserimento, formazione e aggiornamento professionale per il personale; acquisizione e gestione controllata di beni e attrezzature, dei rifiuti, dei farmaci e in generale del governo del rischio</w:t>
      </w:r>
      <w:r w:rsidR="00683B1B" w:rsidRPr="004D19BA">
        <w:rPr>
          <w:rFonts w:ascii="Verdana" w:hAnsi="Verdana"/>
          <w:sz w:val="21"/>
          <w:szCs w:val="21"/>
        </w:rPr>
        <w:t xml:space="preserve">. </w:t>
      </w:r>
      <w:r w:rsidR="001D7E23" w:rsidRPr="004D19BA">
        <w:rPr>
          <w:rFonts w:ascii="Verdana" w:hAnsi="Verdana"/>
          <w:sz w:val="21"/>
          <w:szCs w:val="21"/>
        </w:rPr>
        <w:t>N</w:t>
      </w:r>
      <w:r w:rsidR="00827316" w:rsidRPr="004D19BA">
        <w:rPr>
          <w:rFonts w:ascii="Verdana" w:hAnsi="Verdana"/>
          <w:sz w:val="21"/>
          <w:szCs w:val="21"/>
        </w:rPr>
        <w:t>el corso delle interviste, a</w:t>
      </w:r>
      <w:r w:rsidR="00683B1B" w:rsidRPr="004D19BA">
        <w:rPr>
          <w:rFonts w:ascii="Verdana" w:hAnsi="Verdana"/>
          <w:sz w:val="21"/>
          <w:szCs w:val="21"/>
        </w:rPr>
        <w:t>i soggetti intervistati è stata chiesta una valutazione della propria conoscenza e capacità di applicazione delle istruzioni aziendali rilevanti.</w:t>
      </w:r>
      <w:r w:rsidR="00565C4E" w:rsidRPr="004D19BA">
        <w:rPr>
          <w:rFonts w:ascii="Verdana" w:hAnsi="Verdana"/>
          <w:sz w:val="21"/>
          <w:szCs w:val="21"/>
        </w:rPr>
        <w:t xml:space="preserve"> </w:t>
      </w:r>
      <w:r w:rsidR="00683B1B" w:rsidRPr="004D19BA">
        <w:rPr>
          <w:rFonts w:ascii="Verdana" w:hAnsi="Verdana"/>
          <w:sz w:val="21"/>
          <w:szCs w:val="21"/>
        </w:rPr>
        <w:t>Le interviste hanno</w:t>
      </w:r>
      <w:r w:rsidR="00D15F88" w:rsidRPr="004D19BA">
        <w:rPr>
          <w:rFonts w:ascii="Verdana" w:hAnsi="Verdana"/>
          <w:sz w:val="21"/>
          <w:szCs w:val="21"/>
        </w:rPr>
        <w:t xml:space="preserve"> confermato</w:t>
      </w:r>
      <w:r w:rsidR="00683B1B" w:rsidRPr="004D19BA">
        <w:rPr>
          <w:rFonts w:ascii="Verdana" w:hAnsi="Verdana"/>
          <w:sz w:val="21"/>
          <w:szCs w:val="21"/>
        </w:rPr>
        <w:t xml:space="preserve"> un buon grado di conoscenza delle direttive aziendali e del significato sotteso alle indicazioni operative, in termini di garanzia della terzietà rispetto ai diversi fornitori e di consapevolezza delle proprie responsabilità.</w:t>
      </w:r>
      <w:r w:rsidR="00065794">
        <w:rPr>
          <w:rFonts w:ascii="Verdana" w:hAnsi="Verdana"/>
          <w:sz w:val="21"/>
          <w:szCs w:val="21"/>
        </w:rPr>
        <w:t xml:space="preserve"> </w:t>
      </w:r>
    </w:p>
    <w:p w14:paraId="72D1189A" w14:textId="2EEB7546" w:rsidR="00CE469D" w:rsidRPr="00065794" w:rsidRDefault="00CE469D" w:rsidP="002A313F">
      <w:pPr>
        <w:shd w:val="clear" w:color="auto" w:fill="FFFFFF"/>
        <w:spacing w:after="150" w:line="240" w:lineRule="auto"/>
        <w:ind w:left="720"/>
        <w:contextualSpacing/>
        <w:jc w:val="both"/>
        <w:rPr>
          <w:rFonts w:ascii="Verdana" w:hAnsi="Verdana"/>
          <w:sz w:val="21"/>
          <w:szCs w:val="21"/>
        </w:rPr>
      </w:pPr>
      <w:r w:rsidRPr="00065794">
        <w:rPr>
          <w:rFonts w:ascii="Verdana" w:hAnsi="Verdana"/>
          <w:sz w:val="21"/>
          <w:szCs w:val="21"/>
        </w:rPr>
        <w:t>I suggerimenti operativi che possono eventualmente scaturire dai suddetti confronti sono presi in nota anche ai fini della costruzione delle diverse parti specifiche del Piano.</w:t>
      </w:r>
    </w:p>
    <w:p w14:paraId="4AB42184" w14:textId="77777777" w:rsidR="00CE469D" w:rsidRPr="00065794" w:rsidRDefault="00CE469D" w:rsidP="00CE469D">
      <w:pPr>
        <w:shd w:val="clear" w:color="auto" w:fill="FFFFFF"/>
        <w:spacing w:after="150" w:line="240" w:lineRule="auto"/>
        <w:ind w:left="1800"/>
        <w:contextualSpacing/>
        <w:jc w:val="both"/>
        <w:rPr>
          <w:rFonts w:ascii="Verdana" w:hAnsi="Verdana"/>
          <w:sz w:val="21"/>
          <w:szCs w:val="21"/>
        </w:rPr>
      </w:pPr>
    </w:p>
    <w:p w14:paraId="6C978192" w14:textId="57ACCEF7" w:rsidR="001E32C6" w:rsidRDefault="00327D29" w:rsidP="002A313F">
      <w:pPr>
        <w:shd w:val="clear" w:color="auto" w:fill="FFFFFF"/>
        <w:spacing w:after="150" w:line="240" w:lineRule="auto"/>
        <w:ind w:left="720"/>
        <w:contextualSpacing/>
        <w:jc w:val="both"/>
        <w:rPr>
          <w:rFonts w:ascii="Verdana" w:hAnsi="Verdana"/>
          <w:sz w:val="21"/>
          <w:szCs w:val="21"/>
        </w:rPr>
      </w:pPr>
      <w:r>
        <w:rPr>
          <w:rFonts w:ascii="Verdana" w:hAnsi="Verdana"/>
          <w:sz w:val="21"/>
          <w:szCs w:val="21"/>
        </w:rPr>
        <w:t>I verbali dell’O</w:t>
      </w:r>
      <w:r w:rsidR="00683B1B" w:rsidRPr="00547575">
        <w:rPr>
          <w:rFonts w:ascii="Verdana" w:hAnsi="Verdana"/>
          <w:sz w:val="21"/>
          <w:szCs w:val="21"/>
        </w:rPr>
        <w:t>rganismo</w:t>
      </w:r>
      <w:r w:rsidR="00683B1B" w:rsidRPr="00037BE8">
        <w:rPr>
          <w:rFonts w:ascii="Verdana" w:hAnsi="Verdana"/>
          <w:sz w:val="21"/>
          <w:szCs w:val="21"/>
        </w:rPr>
        <w:t xml:space="preserve"> di Vigilanza sono stati messi a disposizione dell’”Ufficio Prevenzione Corruzione e Trasparenza”, del Collegio Sindacale e</w:t>
      </w:r>
      <w:r w:rsidR="001A7D90" w:rsidRPr="00037BE8">
        <w:rPr>
          <w:rFonts w:ascii="Verdana" w:hAnsi="Verdana"/>
          <w:sz w:val="21"/>
          <w:szCs w:val="21"/>
        </w:rPr>
        <w:t xml:space="preserve"> </w:t>
      </w:r>
      <w:r w:rsidR="00683B1B" w:rsidRPr="00037BE8">
        <w:rPr>
          <w:rFonts w:ascii="Verdana" w:hAnsi="Verdana"/>
          <w:sz w:val="21"/>
          <w:szCs w:val="21"/>
        </w:rPr>
        <w:t>del Revisore dei Conti</w:t>
      </w:r>
      <w:r w:rsidR="005209DC">
        <w:rPr>
          <w:rFonts w:ascii="Verdana" w:hAnsi="Verdana"/>
          <w:sz w:val="21"/>
          <w:szCs w:val="21"/>
        </w:rPr>
        <w:t xml:space="preserve"> –</w:t>
      </w:r>
      <w:r w:rsidR="00065794">
        <w:rPr>
          <w:rFonts w:ascii="Verdana" w:hAnsi="Verdana"/>
          <w:sz w:val="21"/>
          <w:szCs w:val="21"/>
        </w:rPr>
        <w:t xml:space="preserve"> </w:t>
      </w:r>
      <w:r w:rsidR="005209DC" w:rsidRPr="00065794">
        <w:rPr>
          <w:rFonts w:ascii="Verdana" w:hAnsi="Verdana"/>
          <w:sz w:val="21"/>
          <w:szCs w:val="21"/>
        </w:rPr>
        <w:t>questi ultimi</w:t>
      </w:r>
      <w:r w:rsidR="00BA5A23" w:rsidRPr="00065794">
        <w:rPr>
          <w:rFonts w:ascii="Verdana" w:hAnsi="Verdana"/>
          <w:sz w:val="21"/>
          <w:szCs w:val="21"/>
        </w:rPr>
        <w:t xml:space="preserve"> due</w:t>
      </w:r>
      <w:r w:rsidR="005209DC" w:rsidRPr="00065794">
        <w:rPr>
          <w:rFonts w:ascii="Verdana" w:hAnsi="Verdana"/>
          <w:sz w:val="21"/>
          <w:szCs w:val="21"/>
        </w:rPr>
        <w:t xml:space="preserve"> </w:t>
      </w:r>
      <w:r w:rsidR="00065794">
        <w:rPr>
          <w:rFonts w:ascii="Verdana" w:hAnsi="Verdana"/>
          <w:sz w:val="21"/>
          <w:szCs w:val="21"/>
        </w:rPr>
        <w:t xml:space="preserve">organi </w:t>
      </w:r>
      <w:r w:rsidR="007F18AF" w:rsidRPr="00065794">
        <w:rPr>
          <w:rFonts w:ascii="Verdana" w:hAnsi="Verdana"/>
          <w:sz w:val="21"/>
          <w:szCs w:val="21"/>
        </w:rPr>
        <w:t xml:space="preserve">anche </w:t>
      </w:r>
      <w:r w:rsidR="005209DC" w:rsidRPr="00065794">
        <w:rPr>
          <w:rFonts w:ascii="Verdana" w:hAnsi="Verdana"/>
          <w:sz w:val="21"/>
          <w:szCs w:val="21"/>
        </w:rPr>
        <w:t xml:space="preserve">incontrati </w:t>
      </w:r>
      <w:r w:rsidR="007F18AF" w:rsidRPr="00065794">
        <w:rPr>
          <w:rFonts w:ascii="Verdana" w:hAnsi="Verdana"/>
          <w:sz w:val="21"/>
          <w:szCs w:val="21"/>
        </w:rPr>
        <w:t>appositamente</w:t>
      </w:r>
      <w:r>
        <w:rPr>
          <w:rFonts w:ascii="Verdana" w:hAnsi="Verdana"/>
          <w:sz w:val="21"/>
          <w:szCs w:val="21"/>
        </w:rPr>
        <w:t>.</w:t>
      </w:r>
    </w:p>
    <w:p w14:paraId="28288EAE" w14:textId="77777777" w:rsidR="002A313F" w:rsidRDefault="002A313F" w:rsidP="00327D29">
      <w:pPr>
        <w:shd w:val="clear" w:color="auto" w:fill="FFFFFF"/>
        <w:spacing w:after="150" w:line="240" w:lineRule="auto"/>
        <w:ind w:left="1434"/>
        <w:contextualSpacing/>
        <w:jc w:val="both"/>
        <w:rPr>
          <w:rFonts w:ascii="Verdana" w:hAnsi="Verdana"/>
          <w:sz w:val="21"/>
          <w:szCs w:val="21"/>
        </w:rPr>
      </w:pPr>
    </w:p>
    <w:p w14:paraId="7D303310" w14:textId="77777777" w:rsidR="002A313F" w:rsidRDefault="002A313F" w:rsidP="002A313F">
      <w:pPr>
        <w:numPr>
          <w:ilvl w:val="0"/>
          <w:numId w:val="3"/>
        </w:numPr>
        <w:shd w:val="clear" w:color="auto" w:fill="FFFFFF"/>
        <w:spacing w:after="150" w:line="240" w:lineRule="auto"/>
        <w:contextualSpacing/>
        <w:jc w:val="both"/>
        <w:rPr>
          <w:rFonts w:ascii="Verdana" w:hAnsi="Verdana"/>
          <w:sz w:val="21"/>
          <w:szCs w:val="21"/>
        </w:rPr>
      </w:pPr>
      <w:r w:rsidRPr="001B51F0">
        <w:rPr>
          <w:rFonts w:ascii="Verdana" w:hAnsi="Verdana"/>
          <w:sz w:val="21"/>
          <w:szCs w:val="21"/>
        </w:rPr>
        <w:t>verifica sulle attività sanitarie:</w:t>
      </w:r>
    </w:p>
    <w:p w14:paraId="002E0424" w14:textId="77777777" w:rsidR="001E32C6" w:rsidRPr="00037BE8" w:rsidRDefault="00C9780F" w:rsidP="00327D29">
      <w:pPr>
        <w:numPr>
          <w:ilvl w:val="0"/>
          <w:numId w:val="8"/>
        </w:numPr>
        <w:shd w:val="clear" w:color="auto" w:fill="FFFFFF"/>
        <w:spacing w:after="150" w:line="240" w:lineRule="auto"/>
        <w:contextualSpacing/>
        <w:jc w:val="both"/>
        <w:rPr>
          <w:rFonts w:ascii="Verdana" w:hAnsi="Verdana"/>
          <w:sz w:val="21"/>
          <w:szCs w:val="21"/>
        </w:rPr>
      </w:pPr>
      <w:r>
        <w:rPr>
          <w:rFonts w:ascii="Verdana" w:hAnsi="Verdana"/>
          <w:sz w:val="21"/>
          <w:szCs w:val="21"/>
        </w:rPr>
        <w:t>C</w:t>
      </w:r>
      <w:r w:rsidR="001E32C6" w:rsidRPr="00037BE8">
        <w:rPr>
          <w:rFonts w:ascii="Verdana" w:hAnsi="Verdana"/>
          <w:sz w:val="21"/>
          <w:szCs w:val="21"/>
        </w:rPr>
        <w:t>ontrollo</w:t>
      </w:r>
      <w:r w:rsidR="00BD4F85" w:rsidRPr="00037BE8">
        <w:rPr>
          <w:rFonts w:ascii="Verdana" w:hAnsi="Verdana"/>
          <w:sz w:val="21"/>
          <w:szCs w:val="21"/>
        </w:rPr>
        <w:t xml:space="preserve"> </w:t>
      </w:r>
      <w:r w:rsidR="004D3FF7" w:rsidRPr="004D19BA">
        <w:rPr>
          <w:rFonts w:ascii="Verdana" w:hAnsi="Verdana"/>
          <w:sz w:val="21"/>
          <w:szCs w:val="21"/>
        </w:rPr>
        <w:t>annuale</w:t>
      </w:r>
      <w:r w:rsidR="004D3FF7">
        <w:rPr>
          <w:rFonts w:ascii="Verdana" w:hAnsi="Verdana"/>
          <w:color w:val="FF0000"/>
          <w:sz w:val="21"/>
          <w:szCs w:val="21"/>
        </w:rPr>
        <w:t xml:space="preserve"> </w:t>
      </w:r>
      <w:r w:rsidR="00EC3F2E" w:rsidRPr="00037BE8">
        <w:rPr>
          <w:rFonts w:ascii="Verdana" w:hAnsi="Verdana"/>
          <w:sz w:val="21"/>
          <w:szCs w:val="21"/>
        </w:rPr>
        <w:t>presso l’ufficio ausili con l’obiettivo di accertare la correttezza delle prassi di informazione dei pazienti in merito al diritto di libera scelta della ditta a cui rivolgersi per gli ausili prescritti dal medico di Montecatone</w:t>
      </w:r>
      <w:r w:rsidR="006B4704" w:rsidRPr="00037BE8">
        <w:rPr>
          <w:rFonts w:ascii="Verdana" w:hAnsi="Verdana"/>
          <w:sz w:val="21"/>
          <w:szCs w:val="21"/>
        </w:rPr>
        <w:t>. Il monitoraggio</w:t>
      </w:r>
      <w:r w:rsidR="00EC3F2E" w:rsidRPr="00037BE8">
        <w:rPr>
          <w:rFonts w:ascii="Verdana" w:hAnsi="Verdana"/>
          <w:sz w:val="21"/>
          <w:szCs w:val="21"/>
        </w:rPr>
        <w:t xml:space="preserve"> </w:t>
      </w:r>
      <w:r w:rsidR="00037BE8" w:rsidRPr="00037BE8">
        <w:rPr>
          <w:rFonts w:ascii="Verdana" w:hAnsi="Verdana"/>
          <w:sz w:val="21"/>
          <w:szCs w:val="21"/>
        </w:rPr>
        <w:t>eseguito</w:t>
      </w:r>
      <w:r w:rsidR="00EC3F2E" w:rsidRPr="00037BE8">
        <w:rPr>
          <w:rFonts w:ascii="Verdana" w:hAnsi="Verdana"/>
          <w:sz w:val="21"/>
          <w:szCs w:val="21"/>
        </w:rPr>
        <w:t xml:space="preserve"> su </w:t>
      </w:r>
      <w:r w:rsidR="00037BE8" w:rsidRPr="00037BE8">
        <w:rPr>
          <w:rFonts w:ascii="Verdana" w:hAnsi="Verdana"/>
          <w:sz w:val="21"/>
          <w:szCs w:val="21"/>
        </w:rPr>
        <w:t xml:space="preserve">un </w:t>
      </w:r>
      <w:r w:rsidR="00EC3F2E" w:rsidRPr="00037BE8">
        <w:rPr>
          <w:rFonts w:ascii="Verdana" w:hAnsi="Verdana"/>
          <w:sz w:val="21"/>
          <w:szCs w:val="21"/>
        </w:rPr>
        <w:t>campione</w:t>
      </w:r>
      <w:r w:rsidR="006B4704" w:rsidRPr="00037BE8">
        <w:rPr>
          <w:rFonts w:ascii="Verdana" w:hAnsi="Verdana"/>
          <w:sz w:val="21"/>
          <w:szCs w:val="21"/>
        </w:rPr>
        <w:t xml:space="preserve"> di casi ha dato esito positivo</w:t>
      </w:r>
      <w:r w:rsidR="00421B8E" w:rsidRPr="00037BE8">
        <w:rPr>
          <w:rFonts w:ascii="Verdana" w:hAnsi="Verdana"/>
          <w:sz w:val="21"/>
          <w:szCs w:val="21"/>
        </w:rPr>
        <w:t xml:space="preserve"> ed i</w:t>
      </w:r>
      <w:r w:rsidR="006B4704" w:rsidRPr="00037BE8">
        <w:rPr>
          <w:rFonts w:ascii="Verdana" w:hAnsi="Verdana"/>
          <w:sz w:val="21"/>
          <w:szCs w:val="21"/>
        </w:rPr>
        <w:t xml:space="preserve">l </w:t>
      </w:r>
      <w:r w:rsidR="00421B8E" w:rsidRPr="00037BE8">
        <w:rPr>
          <w:rFonts w:ascii="Verdana" w:hAnsi="Verdana"/>
          <w:sz w:val="21"/>
          <w:szCs w:val="21"/>
        </w:rPr>
        <w:t xml:space="preserve">relativo </w:t>
      </w:r>
      <w:r w:rsidR="006B4704" w:rsidRPr="00037BE8">
        <w:rPr>
          <w:rFonts w:ascii="Verdana" w:hAnsi="Verdana"/>
          <w:sz w:val="21"/>
          <w:szCs w:val="21"/>
        </w:rPr>
        <w:t>verbale è conservato agli atti dell’Ufficio Prevenzione Corruzione e Trasparenza.</w:t>
      </w:r>
    </w:p>
    <w:p w14:paraId="370CAFC6" w14:textId="77777777" w:rsidR="00A85E38" w:rsidRDefault="00037BE8" w:rsidP="00327D29">
      <w:pPr>
        <w:pStyle w:val="Paragrafoelenco"/>
        <w:numPr>
          <w:ilvl w:val="0"/>
          <w:numId w:val="8"/>
        </w:numPr>
        <w:shd w:val="clear" w:color="auto" w:fill="FFFFFF"/>
        <w:spacing w:after="150" w:line="240" w:lineRule="auto"/>
        <w:jc w:val="both"/>
        <w:rPr>
          <w:rFonts w:ascii="Verdana" w:hAnsi="Verdana"/>
          <w:sz w:val="21"/>
          <w:szCs w:val="21"/>
        </w:rPr>
      </w:pPr>
      <w:r w:rsidRPr="00327D29">
        <w:rPr>
          <w:rFonts w:ascii="Verdana" w:hAnsi="Verdana"/>
          <w:sz w:val="21"/>
          <w:szCs w:val="21"/>
        </w:rPr>
        <w:t>Censimento</w:t>
      </w:r>
      <w:r w:rsidR="005112DC" w:rsidRPr="00327D29">
        <w:rPr>
          <w:rFonts w:ascii="Verdana" w:hAnsi="Verdana"/>
          <w:sz w:val="21"/>
          <w:szCs w:val="21"/>
        </w:rPr>
        <w:t xml:space="preserve"> </w:t>
      </w:r>
      <w:r w:rsidR="00C9780F" w:rsidRPr="00327D29">
        <w:rPr>
          <w:rFonts w:ascii="Verdana" w:hAnsi="Verdana"/>
          <w:sz w:val="21"/>
          <w:szCs w:val="21"/>
        </w:rPr>
        <w:t xml:space="preserve">annuale </w:t>
      </w:r>
      <w:r w:rsidR="005112DC" w:rsidRPr="00327D29">
        <w:rPr>
          <w:rFonts w:ascii="Verdana" w:hAnsi="Verdana"/>
          <w:sz w:val="21"/>
          <w:szCs w:val="21"/>
        </w:rPr>
        <w:t xml:space="preserve">delle carrozzine di proprietà dell’Istituto mediante rilevazione fisica dei beni nei locali di destinazione e deposito e </w:t>
      </w:r>
      <w:r w:rsidR="00D03242" w:rsidRPr="00327D29">
        <w:rPr>
          <w:rFonts w:ascii="Verdana" w:hAnsi="Verdana"/>
          <w:sz w:val="21"/>
          <w:szCs w:val="21"/>
        </w:rPr>
        <w:t>riconciliazione</w:t>
      </w:r>
      <w:r w:rsidR="005112DC" w:rsidRPr="00327D29">
        <w:rPr>
          <w:rFonts w:ascii="Verdana" w:hAnsi="Verdana"/>
          <w:sz w:val="21"/>
          <w:szCs w:val="21"/>
        </w:rPr>
        <w:t xml:space="preserve"> delle risultanze con inventariazione presente nel registro fiscale dei beni ammortizzabili.</w:t>
      </w:r>
    </w:p>
    <w:p w14:paraId="390E6A3D" w14:textId="77777777" w:rsidR="00327D29" w:rsidRPr="00327D29" w:rsidRDefault="00327D29" w:rsidP="00327D29">
      <w:pPr>
        <w:pStyle w:val="Paragrafoelenco"/>
        <w:shd w:val="clear" w:color="auto" w:fill="FFFFFF"/>
        <w:spacing w:after="150" w:line="240" w:lineRule="auto"/>
        <w:ind w:left="1440"/>
        <w:jc w:val="both"/>
        <w:rPr>
          <w:rFonts w:ascii="Verdana" w:hAnsi="Verdana"/>
          <w:sz w:val="21"/>
          <w:szCs w:val="21"/>
        </w:rPr>
      </w:pPr>
    </w:p>
    <w:p w14:paraId="6CF91F44" w14:textId="46C6A82C" w:rsidR="00A85E38" w:rsidRPr="00327D29" w:rsidRDefault="00C9780F" w:rsidP="00327D29">
      <w:pPr>
        <w:pStyle w:val="Paragrafoelenco"/>
        <w:numPr>
          <w:ilvl w:val="0"/>
          <w:numId w:val="8"/>
        </w:numPr>
        <w:shd w:val="clear" w:color="auto" w:fill="FFFFFF"/>
        <w:spacing w:after="150" w:line="240" w:lineRule="auto"/>
        <w:jc w:val="both"/>
        <w:rPr>
          <w:rFonts w:ascii="Verdana" w:hAnsi="Verdana"/>
          <w:sz w:val="21"/>
          <w:szCs w:val="21"/>
        </w:rPr>
      </w:pPr>
      <w:r w:rsidRPr="00327D29">
        <w:rPr>
          <w:rFonts w:ascii="Verdana" w:hAnsi="Verdana"/>
          <w:sz w:val="21"/>
          <w:szCs w:val="21"/>
        </w:rPr>
        <w:t>I</w:t>
      </w:r>
      <w:r w:rsidR="0054792B" w:rsidRPr="00327D29">
        <w:rPr>
          <w:rFonts w:ascii="Verdana" w:hAnsi="Verdana"/>
          <w:sz w:val="21"/>
          <w:szCs w:val="21"/>
        </w:rPr>
        <w:t xml:space="preserve">l monitoraggio </w:t>
      </w:r>
      <w:r w:rsidR="00A85E38" w:rsidRPr="00327D29">
        <w:rPr>
          <w:rFonts w:ascii="Verdana" w:hAnsi="Verdana"/>
          <w:sz w:val="21"/>
          <w:szCs w:val="21"/>
        </w:rPr>
        <w:t>dei rapporti con gli informatori del farmaco</w:t>
      </w:r>
      <w:r w:rsidR="0054792B" w:rsidRPr="00327D29">
        <w:rPr>
          <w:rFonts w:ascii="Verdana" w:hAnsi="Verdana"/>
          <w:sz w:val="21"/>
          <w:szCs w:val="21"/>
        </w:rPr>
        <w:t xml:space="preserve"> </w:t>
      </w:r>
      <w:r w:rsidR="00457722" w:rsidRPr="00327D29">
        <w:rPr>
          <w:rFonts w:ascii="Verdana" w:hAnsi="Verdana"/>
          <w:sz w:val="21"/>
          <w:szCs w:val="21"/>
        </w:rPr>
        <w:t xml:space="preserve">è proseguito a cura dell’apposito gruppo di lavoro </w:t>
      </w:r>
      <w:r w:rsidR="0054792B" w:rsidRPr="00327D29">
        <w:rPr>
          <w:rFonts w:ascii="Verdana" w:hAnsi="Verdana"/>
          <w:sz w:val="21"/>
          <w:szCs w:val="21"/>
        </w:rPr>
        <w:t xml:space="preserve">che si è riunito due volte </w:t>
      </w:r>
      <w:r w:rsidR="00C233D2" w:rsidRPr="00327D29">
        <w:rPr>
          <w:rFonts w:ascii="Verdana" w:hAnsi="Verdana"/>
          <w:sz w:val="21"/>
          <w:szCs w:val="21"/>
        </w:rPr>
        <w:t>nel</w:t>
      </w:r>
      <w:r w:rsidR="0054792B" w:rsidRPr="00327D29">
        <w:rPr>
          <w:rFonts w:ascii="Verdana" w:hAnsi="Verdana"/>
          <w:sz w:val="21"/>
          <w:szCs w:val="21"/>
        </w:rPr>
        <w:t xml:space="preserve"> corso d</w:t>
      </w:r>
      <w:r w:rsidR="00C233D2" w:rsidRPr="00327D29">
        <w:rPr>
          <w:rFonts w:ascii="Verdana" w:hAnsi="Verdana"/>
          <w:sz w:val="21"/>
          <w:szCs w:val="21"/>
        </w:rPr>
        <w:t>ell</w:t>
      </w:r>
      <w:r w:rsidR="0054792B" w:rsidRPr="00327D29">
        <w:rPr>
          <w:rFonts w:ascii="Verdana" w:hAnsi="Verdana"/>
          <w:sz w:val="21"/>
          <w:szCs w:val="21"/>
        </w:rPr>
        <w:t>’anno</w:t>
      </w:r>
      <w:r w:rsidR="006727B3" w:rsidRPr="00327D29">
        <w:rPr>
          <w:rFonts w:ascii="Verdana" w:hAnsi="Verdana"/>
          <w:sz w:val="21"/>
          <w:szCs w:val="21"/>
        </w:rPr>
        <w:t>,</w:t>
      </w:r>
      <w:r w:rsidR="0054792B" w:rsidRPr="00327D29">
        <w:rPr>
          <w:rFonts w:ascii="Verdana" w:hAnsi="Verdana"/>
          <w:sz w:val="21"/>
          <w:szCs w:val="21"/>
        </w:rPr>
        <w:t xml:space="preserve"> elaborando suggerimenti operativi migliorativi</w:t>
      </w:r>
      <w:r w:rsidR="00C233D2" w:rsidRPr="00327D29">
        <w:rPr>
          <w:rFonts w:ascii="Verdana" w:hAnsi="Verdana"/>
          <w:sz w:val="21"/>
          <w:szCs w:val="21"/>
        </w:rPr>
        <w:t xml:space="preserve"> in ordine alle modalità e tempistiche di accesso</w:t>
      </w:r>
      <w:r w:rsidRPr="00327D29">
        <w:rPr>
          <w:rFonts w:ascii="Verdana" w:hAnsi="Verdana"/>
          <w:sz w:val="21"/>
          <w:szCs w:val="21"/>
        </w:rPr>
        <w:t xml:space="preserve"> a garanzia del principio della tracciabilità delle visite</w:t>
      </w:r>
      <w:r w:rsidR="007F18AF" w:rsidRPr="00327D29">
        <w:rPr>
          <w:rFonts w:ascii="Verdana" w:hAnsi="Verdana"/>
          <w:sz w:val="21"/>
          <w:szCs w:val="21"/>
        </w:rPr>
        <w:t xml:space="preserve"> </w:t>
      </w:r>
      <w:r w:rsidR="007F18AF" w:rsidRPr="00065794">
        <w:rPr>
          <w:rFonts w:ascii="Verdana" w:hAnsi="Verdana"/>
          <w:sz w:val="21"/>
          <w:szCs w:val="21"/>
        </w:rPr>
        <w:t>(revisione del regolamento completata ad ottobre)</w:t>
      </w:r>
      <w:r w:rsidR="00327D29" w:rsidRPr="00065794">
        <w:rPr>
          <w:rFonts w:ascii="Verdana" w:hAnsi="Verdana"/>
          <w:sz w:val="21"/>
          <w:szCs w:val="21"/>
        </w:rPr>
        <w:t>.</w:t>
      </w:r>
      <w:r w:rsidR="00133074" w:rsidRPr="00065794">
        <w:rPr>
          <w:rFonts w:ascii="Verdana" w:hAnsi="Verdana"/>
          <w:sz w:val="21"/>
          <w:szCs w:val="21"/>
        </w:rPr>
        <w:t xml:space="preserve"> Nel prossimo futuro, </w:t>
      </w:r>
      <w:r w:rsidR="0029109F" w:rsidRPr="00065794">
        <w:rPr>
          <w:rFonts w:ascii="Verdana" w:hAnsi="Verdana"/>
          <w:sz w:val="21"/>
          <w:szCs w:val="21"/>
        </w:rPr>
        <w:t>è in argomento</w:t>
      </w:r>
      <w:r w:rsidR="00133074" w:rsidRPr="00065794">
        <w:rPr>
          <w:rFonts w:ascii="Verdana" w:hAnsi="Verdana"/>
          <w:sz w:val="21"/>
          <w:szCs w:val="21"/>
        </w:rPr>
        <w:t xml:space="preserve"> </w:t>
      </w:r>
      <w:r w:rsidR="0029109F" w:rsidRPr="00065794">
        <w:rPr>
          <w:rFonts w:ascii="Verdana" w:hAnsi="Verdana"/>
          <w:sz w:val="21"/>
          <w:szCs w:val="21"/>
        </w:rPr>
        <w:t>la</w:t>
      </w:r>
      <w:r w:rsidR="00133074" w:rsidRPr="00065794">
        <w:rPr>
          <w:rFonts w:ascii="Verdana" w:hAnsi="Verdana"/>
          <w:sz w:val="21"/>
          <w:szCs w:val="21"/>
        </w:rPr>
        <w:t xml:space="preserve"> discussione</w:t>
      </w:r>
      <w:r w:rsidR="00CC72DF" w:rsidRPr="00065794">
        <w:rPr>
          <w:rFonts w:ascii="Verdana" w:hAnsi="Verdana"/>
          <w:sz w:val="21"/>
          <w:szCs w:val="21"/>
        </w:rPr>
        <w:t xml:space="preserve"> al</w:t>
      </w:r>
      <w:r w:rsidR="00133074" w:rsidRPr="00065794">
        <w:rPr>
          <w:rFonts w:ascii="Verdana" w:hAnsi="Verdana"/>
          <w:sz w:val="21"/>
          <w:szCs w:val="21"/>
        </w:rPr>
        <w:t xml:space="preserve"> tavolo regionale degli RPCT </w:t>
      </w:r>
      <w:r w:rsidR="0029109F" w:rsidRPr="00065794">
        <w:rPr>
          <w:rFonts w:ascii="Verdana" w:hAnsi="Verdana"/>
          <w:sz w:val="21"/>
          <w:szCs w:val="21"/>
        </w:rPr>
        <w:t>di</w:t>
      </w:r>
      <w:r w:rsidR="00133074" w:rsidRPr="00065794">
        <w:rPr>
          <w:rFonts w:ascii="Verdana" w:hAnsi="Verdana"/>
          <w:sz w:val="21"/>
          <w:szCs w:val="21"/>
        </w:rPr>
        <w:t xml:space="preserve"> attivare una Piattaforma Unica regionale a garanzia di una maggiore tracciabilità degli accessi </w:t>
      </w:r>
      <w:r w:rsidR="0029109F" w:rsidRPr="00065794">
        <w:rPr>
          <w:rFonts w:ascii="Verdana" w:hAnsi="Verdana"/>
          <w:sz w:val="21"/>
          <w:szCs w:val="21"/>
        </w:rPr>
        <w:t>e definitivo superamento del registro cartaceo.</w:t>
      </w:r>
    </w:p>
    <w:p w14:paraId="624750D9" w14:textId="78B4518B" w:rsidR="00133074" w:rsidRDefault="00683B1B" w:rsidP="00683B1B">
      <w:p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ab/>
      </w:r>
    </w:p>
    <w:p w14:paraId="7BA391CA" w14:textId="77777777" w:rsidR="00683B1B" w:rsidRPr="004D19BA" w:rsidRDefault="00683B1B" w:rsidP="00327D29">
      <w:pPr>
        <w:numPr>
          <w:ilvl w:val="0"/>
          <w:numId w:val="3"/>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monitoraggio sui percorsi amministrativi:</w:t>
      </w:r>
    </w:p>
    <w:p w14:paraId="4D1CF282" w14:textId="77777777" w:rsidR="00683B1B" w:rsidRPr="004D19BA" w:rsidRDefault="00683B1B" w:rsidP="00683B1B">
      <w:pPr>
        <w:shd w:val="clear" w:color="auto" w:fill="FFFFFF"/>
        <w:spacing w:after="150" w:line="240" w:lineRule="auto"/>
        <w:ind w:left="720"/>
        <w:contextualSpacing/>
        <w:jc w:val="both"/>
        <w:rPr>
          <w:rFonts w:ascii="Verdana" w:hAnsi="Verdana"/>
          <w:sz w:val="21"/>
          <w:szCs w:val="21"/>
        </w:rPr>
      </w:pPr>
    </w:p>
    <w:p w14:paraId="6A905671" w14:textId="77777777" w:rsidR="00D03C86" w:rsidRPr="004D19BA" w:rsidRDefault="00281578" w:rsidP="00327D29">
      <w:pPr>
        <w:numPr>
          <w:ilvl w:val="0"/>
          <w:numId w:val="4"/>
        </w:numPr>
        <w:shd w:val="clear" w:color="auto" w:fill="FFFFFF"/>
        <w:spacing w:after="150" w:line="240" w:lineRule="auto"/>
        <w:ind w:left="1134"/>
        <w:contextualSpacing/>
        <w:jc w:val="both"/>
        <w:rPr>
          <w:rFonts w:ascii="Verdana" w:hAnsi="Verdana"/>
          <w:sz w:val="21"/>
          <w:szCs w:val="21"/>
        </w:rPr>
      </w:pPr>
      <w:r w:rsidRPr="004D19BA">
        <w:rPr>
          <w:rFonts w:ascii="Verdana" w:hAnsi="Verdana"/>
          <w:sz w:val="21"/>
          <w:szCs w:val="21"/>
        </w:rPr>
        <w:t>Stato di attuazione delle misure specifiche previste nel PTCPT 202</w:t>
      </w:r>
      <w:r w:rsidR="00EE6E0D">
        <w:rPr>
          <w:rFonts w:ascii="Verdana" w:hAnsi="Verdana"/>
          <w:sz w:val="21"/>
          <w:szCs w:val="21"/>
        </w:rPr>
        <w:t>5</w:t>
      </w:r>
      <w:r w:rsidRPr="004D19BA">
        <w:rPr>
          <w:rFonts w:ascii="Verdana" w:hAnsi="Verdana"/>
          <w:sz w:val="21"/>
          <w:szCs w:val="21"/>
        </w:rPr>
        <w:t>-202</w:t>
      </w:r>
      <w:r w:rsidR="00EE6E0D">
        <w:rPr>
          <w:rFonts w:ascii="Verdana" w:hAnsi="Verdana"/>
          <w:sz w:val="21"/>
          <w:szCs w:val="21"/>
        </w:rPr>
        <w:t>7</w:t>
      </w:r>
      <w:r w:rsidRPr="004D19BA">
        <w:rPr>
          <w:rFonts w:ascii="Verdana" w:hAnsi="Verdana"/>
          <w:sz w:val="21"/>
          <w:szCs w:val="21"/>
        </w:rPr>
        <w:t xml:space="preserve"> inerenti ai processi aziendali maggiormente sensibili: </w:t>
      </w:r>
    </w:p>
    <w:p w14:paraId="3E511880" w14:textId="77777777" w:rsidR="00547575" w:rsidRPr="004D19BA" w:rsidRDefault="00547575" w:rsidP="00547575">
      <w:pPr>
        <w:shd w:val="clear" w:color="auto" w:fill="FFFFFF"/>
        <w:spacing w:after="150" w:line="240" w:lineRule="auto"/>
        <w:contextualSpacing/>
        <w:jc w:val="both"/>
        <w:rPr>
          <w:rFonts w:ascii="Verdana" w:hAnsi="Verdana"/>
          <w:sz w:val="21"/>
          <w:szCs w:val="21"/>
        </w:rPr>
      </w:pPr>
    </w:p>
    <w:p w14:paraId="4825AC1C" w14:textId="77777777" w:rsidR="000C00B6" w:rsidRPr="004D19BA" w:rsidRDefault="001A31E1" w:rsidP="00327D29">
      <w:pPr>
        <w:numPr>
          <w:ilvl w:val="1"/>
          <w:numId w:val="4"/>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0C00B6" w:rsidRPr="004D19BA">
        <w:rPr>
          <w:rFonts w:ascii="Verdana" w:hAnsi="Verdana"/>
          <w:sz w:val="21"/>
          <w:szCs w:val="21"/>
        </w:rPr>
        <w:t>REGOLAMENTAZIONE:</w:t>
      </w:r>
    </w:p>
    <w:p w14:paraId="68487E31" w14:textId="77777777" w:rsidR="008A581F" w:rsidRPr="004D19BA" w:rsidRDefault="00FD23AA" w:rsidP="00332B66">
      <w:pPr>
        <w:shd w:val="clear" w:color="auto" w:fill="FFFFFF"/>
        <w:spacing w:after="150" w:line="240" w:lineRule="auto"/>
        <w:ind w:left="2160"/>
        <w:contextualSpacing/>
        <w:jc w:val="both"/>
        <w:rPr>
          <w:rFonts w:ascii="Verdana" w:hAnsi="Verdana"/>
          <w:sz w:val="21"/>
          <w:szCs w:val="21"/>
        </w:rPr>
      </w:pPr>
      <w:r w:rsidRPr="008503DB">
        <w:rPr>
          <w:rFonts w:ascii="Verdana" w:hAnsi="Verdana"/>
          <w:sz w:val="21"/>
          <w:szCs w:val="21"/>
        </w:rPr>
        <w:t xml:space="preserve">avvio </w:t>
      </w:r>
      <w:r w:rsidR="008A581F" w:rsidRPr="008503DB">
        <w:rPr>
          <w:rFonts w:ascii="Verdana" w:hAnsi="Verdana"/>
          <w:sz w:val="21"/>
          <w:szCs w:val="21"/>
        </w:rPr>
        <w:t>dello</w:t>
      </w:r>
      <w:r w:rsidR="008A581F" w:rsidRPr="004D19BA">
        <w:rPr>
          <w:rFonts w:ascii="Verdana" w:hAnsi="Verdana"/>
          <w:sz w:val="21"/>
          <w:szCs w:val="21"/>
        </w:rPr>
        <w:t xml:space="preserve"> studio di un format per rilevare le eventuali anomalie nella programmazione degli acquisti</w:t>
      </w:r>
    </w:p>
    <w:p w14:paraId="401E1DB4" w14:textId="77777777" w:rsidR="00281578" w:rsidRPr="004D19BA" w:rsidRDefault="00281578" w:rsidP="00281578">
      <w:pPr>
        <w:shd w:val="clear" w:color="auto" w:fill="FFFFFF"/>
        <w:spacing w:after="150" w:line="240" w:lineRule="auto"/>
        <w:ind w:left="2160"/>
        <w:contextualSpacing/>
        <w:jc w:val="both"/>
        <w:rPr>
          <w:rFonts w:ascii="Verdana" w:hAnsi="Verdana"/>
          <w:sz w:val="21"/>
          <w:szCs w:val="21"/>
        </w:rPr>
      </w:pPr>
    </w:p>
    <w:p w14:paraId="5E665E8D" w14:textId="77777777" w:rsidR="00281578" w:rsidRPr="004D19BA" w:rsidRDefault="00281578" w:rsidP="00327D29">
      <w:pPr>
        <w:numPr>
          <w:ilvl w:val="0"/>
          <w:numId w:val="22"/>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D675D9" w:rsidRPr="004D19BA">
        <w:rPr>
          <w:rFonts w:ascii="Verdana" w:hAnsi="Verdana"/>
          <w:sz w:val="21"/>
          <w:szCs w:val="21"/>
        </w:rPr>
        <w:t>REGOLAMENTAZIONE/</w:t>
      </w:r>
      <w:r w:rsidRPr="004D19BA">
        <w:rPr>
          <w:rFonts w:ascii="Verdana" w:hAnsi="Verdana"/>
          <w:sz w:val="21"/>
          <w:szCs w:val="21"/>
        </w:rPr>
        <w:t>INFORMATIZZAZIONE</w:t>
      </w:r>
    </w:p>
    <w:p w14:paraId="18463119" w14:textId="40FE6E05" w:rsidR="000C00B6" w:rsidRDefault="00611AA6" w:rsidP="00C81ABF">
      <w:pPr>
        <w:shd w:val="clear" w:color="auto" w:fill="FFFFFF"/>
        <w:spacing w:after="150" w:line="240" w:lineRule="auto"/>
        <w:ind w:left="2160"/>
        <w:contextualSpacing/>
        <w:jc w:val="both"/>
        <w:rPr>
          <w:rFonts w:ascii="Verdana" w:hAnsi="Verdana"/>
          <w:sz w:val="21"/>
          <w:szCs w:val="21"/>
        </w:rPr>
      </w:pPr>
      <w:r w:rsidRPr="00963E44">
        <w:rPr>
          <w:rFonts w:ascii="Verdana" w:hAnsi="Verdana"/>
          <w:sz w:val="21"/>
          <w:szCs w:val="21"/>
        </w:rPr>
        <w:t xml:space="preserve">Avviato a </w:t>
      </w:r>
      <w:r w:rsidR="008503DB" w:rsidRPr="00963E44">
        <w:rPr>
          <w:rFonts w:ascii="Verdana" w:hAnsi="Verdana"/>
          <w:sz w:val="21"/>
          <w:szCs w:val="21"/>
        </w:rPr>
        <w:t>giugno</w:t>
      </w:r>
      <w:r w:rsidRPr="00963E44">
        <w:rPr>
          <w:rFonts w:ascii="Verdana" w:hAnsi="Verdana"/>
          <w:sz w:val="21"/>
          <w:szCs w:val="21"/>
        </w:rPr>
        <w:t xml:space="preserve"> 2025</w:t>
      </w:r>
      <w:r w:rsidR="00281578" w:rsidRPr="00963E44">
        <w:rPr>
          <w:rFonts w:ascii="Verdana" w:hAnsi="Verdana"/>
          <w:sz w:val="21"/>
          <w:szCs w:val="21"/>
        </w:rPr>
        <w:t xml:space="preserve"> </w:t>
      </w:r>
      <w:r w:rsidR="00332B66" w:rsidRPr="00963E44">
        <w:rPr>
          <w:rFonts w:ascii="Verdana" w:hAnsi="Verdana"/>
          <w:sz w:val="21"/>
          <w:szCs w:val="21"/>
        </w:rPr>
        <w:t>processo</w:t>
      </w:r>
      <w:r w:rsidR="00332B66" w:rsidRPr="004D19BA">
        <w:rPr>
          <w:rFonts w:ascii="Verdana" w:hAnsi="Verdana"/>
          <w:sz w:val="21"/>
          <w:szCs w:val="21"/>
        </w:rPr>
        <w:t xml:space="preserve"> </w:t>
      </w:r>
      <w:r w:rsidR="00281578" w:rsidRPr="004D19BA">
        <w:rPr>
          <w:rFonts w:ascii="Verdana" w:hAnsi="Verdana"/>
          <w:sz w:val="21"/>
          <w:szCs w:val="21"/>
        </w:rPr>
        <w:t>informatizzato</w:t>
      </w:r>
      <w:r w:rsidR="00332B66" w:rsidRPr="004D19BA">
        <w:rPr>
          <w:rFonts w:ascii="Verdana" w:hAnsi="Verdana"/>
          <w:sz w:val="21"/>
          <w:szCs w:val="21"/>
        </w:rPr>
        <w:t xml:space="preserve"> per la gestione del percorso di liquidazione/autorizzazione delle fatture passive </w:t>
      </w:r>
    </w:p>
    <w:p w14:paraId="57D658CF" w14:textId="77777777" w:rsidR="00611AA6" w:rsidRPr="004D19BA" w:rsidRDefault="00611AA6" w:rsidP="00C81ABF">
      <w:pPr>
        <w:shd w:val="clear" w:color="auto" w:fill="FFFFFF"/>
        <w:spacing w:after="150" w:line="240" w:lineRule="auto"/>
        <w:ind w:left="2160"/>
        <w:contextualSpacing/>
        <w:jc w:val="both"/>
        <w:rPr>
          <w:rFonts w:ascii="Verdana" w:hAnsi="Verdana"/>
          <w:sz w:val="21"/>
          <w:szCs w:val="21"/>
        </w:rPr>
      </w:pPr>
    </w:p>
    <w:p w14:paraId="5519D70A" w14:textId="77777777" w:rsidR="000C00B6" w:rsidRPr="004D19BA" w:rsidRDefault="001A31E1" w:rsidP="00327D29">
      <w:pPr>
        <w:numPr>
          <w:ilvl w:val="1"/>
          <w:numId w:val="4"/>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0C00B6" w:rsidRPr="004D19BA">
        <w:rPr>
          <w:rFonts w:ascii="Verdana" w:hAnsi="Verdana"/>
          <w:sz w:val="21"/>
          <w:szCs w:val="21"/>
        </w:rPr>
        <w:t>FORMAZIONE:</w:t>
      </w:r>
    </w:p>
    <w:p w14:paraId="5B5B6C4E" w14:textId="77777777" w:rsidR="000C00B6" w:rsidRPr="004D19BA" w:rsidRDefault="00611AA6" w:rsidP="00332B66">
      <w:pPr>
        <w:shd w:val="clear" w:color="auto" w:fill="FFFFFF"/>
        <w:spacing w:after="150" w:line="240" w:lineRule="auto"/>
        <w:ind w:left="2160"/>
        <w:contextualSpacing/>
        <w:jc w:val="both"/>
        <w:rPr>
          <w:rFonts w:ascii="Verdana" w:hAnsi="Verdana"/>
          <w:sz w:val="21"/>
          <w:szCs w:val="21"/>
        </w:rPr>
      </w:pPr>
      <w:r w:rsidRPr="00963E44">
        <w:rPr>
          <w:rFonts w:ascii="Verdana" w:hAnsi="Verdana"/>
          <w:sz w:val="21"/>
          <w:szCs w:val="21"/>
        </w:rPr>
        <w:t>corso FAD proposto a tutti i neoassunti</w:t>
      </w:r>
    </w:p>
    <w:p w14:paraId="5D56C5B9" w14:textId="77777777" w:rsidR="00A30039" w:rsidRPr="004D19BA" w:rsidRDefault="00A30039" w:rsidP="00C81ABF">
      <w:pPr>
        <w:shd w:val="clear" w:color="auto" w:fill="FFFFFF"/>
        <w:spacing w:after="150" w:line="240" w:lineRule="auto"/>
        <w:ind w:left="2160"/>
        <w:contextualSpacing/>
        <w:jc w:val="both"/>
        <w:rPr>
          <w:rFonts w:ascii="Verdana" w:hAnsi="Verdana"/>
          <w:sz w:val="21"/>
          <w:szCs w:val="21"/>
        </w:rPr>
      </w:pPr>
    </w:p>
    <w:p w14:paraId="64EC3ECB" w14:textId="77777777" w:rsidR="00A30039" w:rsidRPr="004D19BA" w:rsidRDefault="001A31E1" w:rsidP="00327D29">
      <w:pPr>
        <w:numPr>
          <w:ilvl w:val="1"/>
          <w:numId w:val="4"/>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A30039" w:rsidRPr="004D19BA">
        <w:rPr>
          <w:rFonts w:ascii="Verdana" w:hAnsi="Verdana"/>
          <w:sz w:val="21"/>
          <w:szCs w:val="21"/>
        </w:rPr>
        <w:t>CONTROLLO:</w:t>
      </w:r>
    </w:p>
    <w:p w14:paraId="5631E3DC" w14:textId="77777777" w:rsidR="00A30039" w:rsidRDefault="003551F0" w:rsidP="00D675D9">
      <w:pPr>
        <w:shd w:val="clear" w:color="auto" w:fill="FFFFFF"/>
        <w:spacing w:after="150" w:line="240" w:lineRule="auto"/>
        <w:ind w:left="2160"/>
        <w:contextualSpacing/>
        <w:jc w:val="both"/>
        <w:rPr>
          <w:rFonts w:ascii="Verdana" w:hAnsi="Verdana"/>
          <w:sz w:val="21"/>
          <w:szCs w:val="21"/>
        </w:rPr>
      </w:pPr>
      <w:r w:rsidRPr="004D19BA">
        <w:rPr>
          <w:rFonts w:ascii="Verdana" w:hAnsi="Verdana"/>
          <w:sz w:val="21"/>
          <w:szCs w:val="21"/>
        </w:rPr>
        <w:t>esecuzione di</w:t>
      </w:r>
      <w:r w:rsidR="00A30039" w:rsidRPr="004D19BA">
        <w:rPr>
          <w:rFonts w:ascii="Verdana" w:hAnsi="Verdana"/>
          <w:sz w:val="21"/>
          <w:szCs w:val="21"/>
        </w:rPr>
        <w:t xml:space="preserve"> controlli periodici su tutte le aree mappate nel PTPCT</w:t>
      </w:r>
      <w:r w:rsidR="00D675D9" w:rsidRPr="004D19BA">
        <w:rPr>
          <w:rFonts w:ascii="Verdana" w:hAnsi="Verdana"/>
          <w:sz w:val="21"/>
          <w:szCs w:val="21"/>
        </w:rPr>
        <w:t xml:space="preserve"> </w:t>
      </w:r>
    </w:p>
    <w:p w14:paraId="43E21CCD" w14:textId="77777777" w:rsidR="008503DB" w:rsidRPr="004D19BA" w:rsidRDefault="008503DB" w:rsidP="00D675D9">
      <w:pPr>
        <w:shd w:val="clear" w:color="auto" w:fill="FFFFFF"/>
        <w:spacing w:after="150" w:line="240" w:lineRule="auto"/>
        <w:ind w:left="2160"/>
        <w:contextualSpacing/>
        <w:jc w:val="both"/>
        <w:rPr>
          <w:rFonts w:ascii="Verdana" w:hAnsi="Verdana"/>
          <w:sz w:val="21"/>
          <w:szCs w:val="21"/>
        </w:rPr>
      </w:pPr>
    </w:p>
    <w:p w14:paraId="52FF6143" w14:textId="77777777" w:rsidR="009C5EE8" w:rsidRPr="009C5EE8" w:rsidRDefault="009C5EE8" w:rsidP="009C5EE8">
      <w:pPr>
        <w:shd w:val="clear" w:color="auto" w:fill="FFFFFF"/>
        <w:spacing w:after="150" w:line="240" w:lineRule="auto"/>
        <w:ind w:left="1440"/>
        <w:contextualSpacing/>
        <w:jc w:val="both"/>
        <w:rPr>
          <w:rFonts w:ascii="Verdana" w:hAnsi="Verdana"/>
          <w:sz w:val="21"/>
          <w:szCs w:val="21"/>
        </w:rPr>
      </w:pPr>
    </w:p>
    <w:p w14:paraId="2A432839" w14:textId="77777777" w:rsidR="00C57446" w:rsidRDefault="00DC28D5" w:rsidP="00C57446">
      <w:pPr>
        <w:shd w:val="clear" w:color="auto" w:fill="FFFFFF"/>
        <w:spacing w:after="150" w:line="240" w:lineRule="auto"/>
        <w:contextualSpacing/>
        <w:jc w:val="both"/>
        <w:rPr>
          <w:rFonts w:ascii="Verdana" w:hAnsi="Verdana"/>
          <w:sz w:val="21"/>
          <w:szCs w:val="21"/>
        </w:rPr>
      </w:pPr>
      <w:r w:rsidRPr="000265F2">
        <w:rPr>
          <w:rFonts w:ascii="Verdana" w:hAnsi="Verdana"/>
          <w:sz w:val="21"/>
          <w:szCs w:val="21"/>
        </w:rPr>
        <w:t>Dal 2018</w:t>
      </w:r>
      <w:r w:rsidR="00D01F37" w:rsidRPr="000265F2">
        <w:rPr>
          <w:rFonts w:ascii="Verdana" w:hAnsi="Verdana"/>
          <w:sz w:val="21"/>
          <w:szCs w:val="21"/>
        </w:rPr>
        <w:t>,</w:t>
      </w:r>
      <w:r w:rsidRPr="000265F2">
        <w:rPr>
          <w:rFonts w:ascii="Verdana" w:hAnsi="Verdana"/>
          <w:sz w:val="21"/>
          <w:szCs w:val="21"/>
        </w:rPr>
        <w:t xml:space="preserve"> il RPCT è invitato</w:t>
      </w:r>
      <w:r w:rsidR="008F1A56" w:rsidRPr="000265F2">
        <w:rPr>
          <w:rFonts w:ascii="Verdana" w:hAnsi="Verdana"/>
          <w:sz w:val="21"/>
          <w:szCs w:val="21"/>
        </w:rPr>
        <w:t xml:space="preserve"> a partecipare</w:t>
      </w:r>
      <w:r w:rsidRPr="000265F2">
        <w:rPr>
          <w:rFonts w:ascii="Verdana" w:hAnsi="Verdana"/>
          <w:sz w:val="21"/>
          <w:szCs w:val="21"/>
        </w:rPr>
        <w:t xml:space="preserve"> alle riunioni del “Tavolo Regionale per il coordinamento delle misure di trasparenza e prevenzione della corruzione delle Aziende e degli Enti del Servizio Sanitario Regionale”</w:t>
      </w:r>
      <w:r w:rsidR="00BD4F21">
        <w:rPr>
          <w:rFonts w:ascii="Verdana" w:hAnsi="Verdana"/>
          <w:sz w:val="21"/>
          <w:szCs w:val="21"/>
        </w:rPr>
        <w:t>.</w:t>
      </w:r>
    </w:p>
    <w:p w14:paraId="393571B7" w14:textId="77777777" w:rsidR="00BD4F21" w:rsidRPr="00137ADC" w:rsidRDefault="00BD4F21" w:rsidP="00BD4F21">
      <w:pPr>
        <w:shd w:val="clear" w:color="auto" w:fill="FFFFFF"/>
        <w:spacing w:after="150" w:line="240" w:lineRule="auto"/>
        <w:contextualSpacing/>
        <w:jc w:val="both"/>
        <w:rPr>
          <w:rFonts w:ascii="Verdana" w:hAnsi="Verdana"/>
          <w:sz w:val="21"/>
          <w:szCs w:val="21"/>
        </w:rPr>
      </w:pPr>
      <w:r w:rsidRPr="00137ADC">
        <w:rPr>
          <w:rFonts w:ascii="Verdana" w:hAnsi="Verdana"/>
          <w:sz w:val="21"/>
          <w:szCs w:val="21"/>
        </w:rPr>
        <w:t xml:space="preserve">Detto tavolo ha il compito di: </w:t>
      </w:r>
    </w:p>
    <w:p w14:paraId="525844A2" w14:textId="77777777" w:rsidR="00BD4F21" w:rsidRPr="00137ADC" w:rsidRDefault="00BD4F21" w:rsidP="00327D29">
      <w:pPr>
        <w:pStyle w:val="Paragrafoelenco"/>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promuovere il coordinamento delle azioni e delle misure in materia di anticorruzione e trasparenza tra le Aziende sanitarie e gli Enti del Servizio Sanitario Regionale;</w:t>
      </w:r>
    </w:p>
    <w:p w14:paraId="1F4DDBD0"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analizzare le migliori prassi al fine di trasferirle all’interno dell’organizzazione delle Aziende e degli Enti del SSR e promuovere su tali temi un’omogeneità di comportamento;</w:t>
      </w:r>
    </w:p>
    <w:p w14:paraId="08F66FB1"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proporre linee guida di carattere regionale e modalità applicative comuni per l’attuazione di specifiche misure di trasparenza e di contrasto al fenomeno corruttivo;</w:t>
      </w:r>
    </w:p>
    <w:p w14:paraId="71278475"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riunirsi di norma a cadenza bimestrale;</w:t>
      </w:r>
    </w:p>
    <w:p w14:paraId="14116E53"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avvalersi anche di gruppi di lavoro tematici in base alle esigenze di approfondimento e agli adempimenti da rispettare.</w:t>
      </w:r>
    </w:p>
    <w:p w14:paraId="1E2B563F" w14:textId="77777777" w:rsidR="007F6175" w:rsidRDefault="007F6175">
      <w:pPr>
        <w:shd w:val="clear" w:color="auto" w:fill="FFFFFF"/>
        <w:spacing w:after="150" w:line="240" w:lineRule="auto"/>
        <w:contextualSpacing/>
        <w:jc w:val="both"/>
        <w:rPr>
          <w:rFonts w:ascii="Verdana" w:hAnsi="Verdana"/>
          <w:sz w:val="21"/>
          <w:szCs w:val="21"/>
        </w:rPr>
      </w:pPr>
    </w:p>
    <w:p w14:paraId="7F987A90" w14:textId="352783D8" w:rsidR="00DC28D5" w:rsidRPr="00813913" w:rsidRDefault="00DC28D5">
      <w:pPr>
        <w:shd w:val="clear" w:color="auto" w:fill="FFFFFF"/>
        <w:spacing w:after="150" w:line="240" w:lineRule="auto"/>
        <w:contextualSpacing/>
        <w:jc w:val="both"/>
        <w:rPr>
          <w:rFonts w:ascii="Verdana" w:hAnsi="Verdana"/>
          <w:color w:val="EE0000"/>
          <w:sz w:val="21"/>
          <w:szCs w:val="21"/>
          <w:lang w:eastAsia="it-IT"/>
        </w:rPr>
      </w:pPr>
      <w:r w:rsidRPr="00F33269">
        <w:rPr>
          <w:rFonts w:ascii="Verdana" w:hAnsi="Verdana"/>
          <w:sz w:val="21"/>
          <w:szCs w:val="21"/>
          <w:lang w:eastAsia="it-IT"/>
        </w:rPr>
        <w:t>Dal 2019</w:t>
      </w:r>
      <w:r w:rsidR="00D01F37" w:rsidRPr="00F33269">
        <w:rPr>
          <w:rFonts w:ascii="Verdana" w:hAnsi="Verdana"/>
          <w:sz w:val="21"/>
          <w:szCs w:val="21"/>
          <w:lang w:eastAsia="it-IT"/>
        </w:rPr>
        <w:t>,</w:t>
      </w:r>
      <w:r w:rsidRPr="00F33269">
        <w:rPr>
          <w:rFonts w:ascii="Verdana" w:hAnsi="Verdana"/>
          <w:sz w:val="21"/>
          <w:szCs w:val="21"/>
          <w:lang w:eastAsia="it-IT"/>
        </w:rPr>
        <w:t xml:space="preserve"> il RPCT di MRI è invitato a partecipare alle riunioni del Tavolo dei RPCT delle aziende sanitarie e ospedaliere di Area Vasta Emilia Centro (AVEC</w:t>
      </w:r>
      <w:r w:rsidRPr="00861721">
        <w:rPr>
          <w:rFonts w:ascii="Verdana" w:hAnsi="Verdana"/>
          <w:sz w:val="21"/>
          <w:szCs w:val="21"/>
          <w:lang w:eastAsia="it-IT"/>
        </w:rPr>
        <w:t>)</w:t>
      </w:r>
      <w:r w:rsidR="008503DB" w:rsidRPr="00861721">
        <w:rPr>
          <w:rFonts w:ascii="Verdana" w:hAnsi="Verdana"/>
          <w:sz w:val="21"/>
          <w:szCs w:val="21"/>
          <w:lang w:eastAsia="it-IT"/>
        </w:rPr>
        <w:t xml:space="preserve"> e Ausl Romagna</w:t>
      </w:r>
      <w:r w:rsidR="00461735" w:rsidRPr="00861721">
        <w:rPr>
          <w:rFonts w:ascii="Verdana" w:hAnsi="Verdana"/>
          <w:sz w:val="21"/>
          <w:szCs w:val="21"/>
          <w:lang w:eastAsia="it-IT"/>
        </w:rPr>
        <w:t xml:space="preserve"> </w:t>
      </w:r>
      <w:r w:rsidRPr="00861721">
        <w:rPr>
          <w:rFonts w:ascii="Verdana" w:hAnsi="Verdana"/>
          <w:sz w:val="21"/>
          <w:szCs w:val="21"/>
          <w:lang w:eastAsia="it-IT"/>
        </w:rPr>
        <w:t>che vengono convocate di norma mensilmente per condividere gli aspetti normativi di immediata applicazione, le risultanze delle attività svolte</w:t>
      </w:r>
      <w:r w:rsidR="00A1433A" w:rsidRPr="00861721">
        <w:rPr>
          <w:rFonts w:ascii="Verdana" w:hAnsi="Verdana"/>
          <w:sz w:val="21"/>
          <w:szCs w:val="21"/>
          <w:lang w:eastAsia="it-IT"/>
        </w:rPr>
        <w:t>,</w:t>
      </w:r>
      <w:r w:rsidRPr="00861721">
        <w:rPr>
          <w:rFonts w:ascii="Verdana" w:hAnsi="Verdana"/>
          <w:sz w:val="21"/>
          <w:szCs w:val="21"/>
          <w:lang w:eastAsia="it-IT"/>
        </w:rPr>
        <w:t xml:space="preserve"> </w:t>
      </w:r>
      <w:r w:rsidR="00A1433A" w:rsidRPr="00861721">
        <w:rPr>
          <w:rFonts w:ascii="Verdana" w:hAnsi="Verdana"/>
          <w:sz w:val="21"/>
          <w:szCs w:val="21"/>
          <w:lang w:eastAsia="it-IT"/>
        </w:rPr>
        <w:t xml:space="preserve">la discussione e risoluzione di casi </w:t>
      </w:r>
      <w:r w:rsidR="00377F11" w:rsidRPr="00861721">
        <w:rPr>
          <w:rFonts w:ascii="Verdana" w:hAnsi="Verdana"/>
          <w:sz w:val="21"/>
          <w:szCs w:val="21"/>
          <w:lang w:eastAsia="it-IT"/>
        </w:rPr>
        <w:t xml:space="preserve">pratici </w:t>
      </w:r>
      <w:r w:rsidR="00A1433A" w:rsidRPr="00861721">
        <w:rPr>
          <w:rFonts w:ascii="Verdana" w:hAnsi="Verdana"/>
          <w:sz w:val="21"/>
          <w:szCs w:val="21"/>
          <w:lang w:eastAsia="it-IT"/>
        </w:rPr>
        <w:t xml:space="preserve">specifici </w:t>
      </w:r>
      <w:r w:rsidRPr="00861721">
        <w:rPr>
          <w:rFonts w:ascii="Verdana" w:hAnsi="Verdana"/>
          <w:sz w:val="21"/>
          <w:szCs w:val="21"/>
          <w:lang w:eastAsia="it-IT"/>
        </w:rPr>
        <w:t>e</w:t>
      </w:r>
      <w:r w:rsidR="00A1433A" w:rsidRPr="00861721">
        <w:rPr>
          <w:rFonts w:ascii="Verdana" w:hAnsi="Verdana"/>
          <w:sz w:val="21"/>
          <w:szCs w:val="21"/>
          <w:lang w:eastAsia="it-IT"/>
        </w:rPr>
        <w:t xml:space="preserve">, </w:t>
      </w:r>
      <w:r w:rsidR="002F3FA2" w:rsidRPr="00861721">
        <w:rPr>
          <w:rFonts w:ascii="Verdana" w:hAnsi="Verdana"/>
          <w:sz w:val="21"/>
          <w:szCs w:val="21"/>
          <w:lang w:eastAsia="it-IT"/>
        </w:rPr>
        <w:t xml:space="preserve">più </w:t>
      </w:r>
      <w:r w:rsidR="00A1433A" w:rsidRPr="00861721">
        <w:rPr>
          <w:rFonts w:ascii="Verdana" w:hAnsi="Verdana"/>
          <w:sz w:val="21"/>
          <w:szCs w:val="21"/>
          <w:lang w:eastAsia="it-IT"/>
        </w:rPr>
        <w:t>in generale,</w:t>
      </w:r>
      <w:r w:rsidRPr="00861721">
        <w:rPr>
          <w:rFonts w:ascii="Verdana" w:hAnsi="Verdana"/>
          <w:sz w:val="21"/>
          <w:szCs w:val="21"/>
          <w:lang w:eastAsia="it-IT"/>
        </w:rPr>
        <w:t xml:space="preserve"> per dare impulso alle rispettive azioni all’interno delle proprie </w:t>
      </w:r>
      <w:r w:rsidRPr="00F33269">
        <w:rPr>
          <w:rFonts w:ascii="Verdana" w:hAnsi="Verdana"/>
          <w:sz w:val="21"/>
          <w:szCs w:val="21"/>
          <w:lang w:eastAsia="it-IT"/>
        </w:rPr>
        <w:t>aziende.</w:t>
      </w:r>
      <w:r w:rsidR="00813913">
        <w:rPr>
          <w:rFonts w:ascii="Verdana" w:hAnsi="Verdana"/>
          <w:sz w:val="21"/>
          <w:szCs w:val="21"/>
          <w:lang w:eastAsia="it-IT"/>
        </w:rPr>
        <w:t xml:space="preserve"> </w:t>
      </w:r>
    </w:p>
    <w:p w14:paraId="030504D2" w14:textId="77777777" w:rsidR="00A27DFD" w:rsidRDefault="00A27DFD">
      <w:pPr>
        <w:shd w:val="clear" w:color="auto" w:fill="FFFFFF"/>
        <w:spacing w:after="150" w:line="240" w:lineRule="auto"/>
        <w:contextualSpacing/>
        <w:jc w:val="both"/>
        <w:rPr>
          <w:rFonts w:ascii="Verdana" w:hAnsi="Verdana"/>
          <w:sz w:val="21"/>
          <w:szCs w:val="21"/>
          <w:lang w:eastAsia="it-IT"/>
        </w:rPr>
      </w:pPr>
    </w:p>
    <w:p w14:paraId="22F07960" w14:textId="2FF0DE3B" w:rsidR="00A4332C" w:rsidRPr="00861721" w:rsidRDefault="00A27DFD" w:rsidP="00A27DFD">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Nel 2025,</w:t>
      </w:r>
      <w:r w:rsidR="00146CA2" w:rsidRPr="00861721">
        <w:rPr>
          <w:rFonts w:ascii="Verdana" w:hAnsi="Verdana"/>
          <w:sz w:val="21"/>
          <w:szCs w:val="21"/>
          <w:lang w:eastAsia="it-IT"/>
        </w:rPr>
        <w:t xml:space="preserve"> i principali temi trattati d’interesse per MRI hanno riguardato la definizione di un orientamento comune in ordine </w:t>
      </w:r>
      <w:r w:rsidR="00CB3ECD" w:rsidRPr="00861721">
        <w:rPr>
          <w:rFonts w:ascii="Verdana" w:hAnsi="Verdana"/>
          <w:sz w:val="21"/>
          <w:szCs w:val="21"/>
          <w:lang w:eastAsia="it-IT"/>
        </w:rPr>
        <w:t>ai</w:t>
      </w:r>
      <w:r w:rsidR="00146CA2" w:rsidRPr="00861721">
        <w:rPr>
          <w:rFonts w:ascii="Verdana" w:hAnsi="Verdana"/>
          <w:sz w:val="21"/>
          <w:szCs w:val="21"/>
          <w:lang w:eastAsia="it-IT"/>
        </w:rPr>
        <w:t xml:space="preserve"> dati e informazioni </w:t>
      </w:r>
      <w:r w:rsidR="00CB3ECD" w:rsidRPr="00861721">
        <w:rPr>
          <w:rFonts w:ascii="Verdana" w:hAnsi="Verdana"/>
          <w:sz w:val="21"/>
          <w:szCs w:val="21"/>
          <w:lang w:eastAsia="it-IT"/>
        </w:rPr>
        <w:t>da pubblicare nella sezione “Bandi di gara e contratti” di Società Trasparente; modalità di pubblicazione dei cv di consulenti e collaboratori; indicazioni applicative della Delibera ANAC n. 495/</w:t>
      </w:r>
      <w:r w:rsidR="00CB3ECD" w:rsidRPr="00AD08F6">
        <w:rPr>
          <w:rFonts w:ascii="Verdana" w:hAnsi="Verdana"/>
          <w:sz w:val="21"/>
          <w:szCs w:val="21"/>
          <w:lang w:eastAsia="it-IT"/>
        </w:rPr>
        <w:t>2024</w:t>
      </w:r>
      <w:r w:rsidR="002177E9" w:rsidRPr="00AD08F6">
        <w:rPr>
          <w:rFonts w:ascii="Verdana" w:hAnsi="Verdana"/>
          <w:sz w:val="21"/>
          <w:szCs w:val="21"/>
          <w:lang w:eastAsia="it-IT"/>
        </w:rPr>
        <w:t xml:space="preserve"> (modificata con la Delibera </w:t>
      </w:r>
      <w:r w:rsidR="00AB5BBA" w:rsidRPr="00AD08F6">
        <w:rPr>
          <w:rFonts w:ascii="Verdana" w:hAnsi="Verdana"/>
          <w:sz w:val="21"/>
          <w:szCs w:val="21"/>
          <w:lang w:eastAsia="it-IT"/>
        </w:rPr>
        <w:t xml:space="preserve">n. </w:t>
      </w:r>
      <w:r w:rsidR="002177E9" w:rsidRPr="00AD08F6">
        <w:rPr>
          <w:rFonts w:ascii="Verdana" w:hAnsi="Verdana"/>
          <w:sz w:val="21"/>
          <w:szCs w:val="21"/>
          <w:lang w:eastAsia="it-IT"/>
        </w:rPr>
        <w:t>481 del 2025)</w:t>
      </w:r>
      <w:r w:rsidR="00506255" w:rsidRPr="00AD08F6">
        <w:rPr>
          <w:rFonts w:ascii="Verdana" w:hAnsi="Verdana"/>
          <w:sz w:val="21"/>
          <w:szCs w:val="21"/>
          <w:lang w:eastAsia="it-IT"/>
        </w:rPr>
        <w:t>; costituzione di due gruppi di lavoro specifici per</w:t>
      </w:r>
      <w:r w:rsidR="00506255" w:rsidRPr="00861721">
        <w:rPr>
          <w:rFonts w:ascii="Verdana" w:hAnsi="Verdana"/>
          <w:sz w:val="21"/>
          <w:szCs w:val="21"/>
          <w:lang w:eastAsia="it-IT"/>
        </w:rPr>
        <w:t xml:space="preserve"> aggiornare la mappatura dei processi inerenti alla prescrizione di farmaci ad alto costo e alle attività degli uffici bilancio e settore finanziario. L’RPCT di MRI </w:t>
      </w:r>
      <w:r w:rsidR="00A4332C" w:rsidRPr="00861721">
        <w:rPr>
          <w:rFonts w:ascii="Verdana" w:hAnsi="Verdana"/>
          <w:sz w:val="21"/>
          <w:szCs w:val="21"/>
          <w:lang w:eastAsia="it-IT"/>
        </w:rPr>
        <w:t xml:space="preserve">è stato coinvolto nel gruppo che si è occupato dell’analisi e valutazione dei processi riconducibili all’area di gestione del patrimonio, delle entrate e delle spese che è in </w:t>
      </w:r>
      <w:r w:rsidR="00B5575E" w:rsidRPr="00861721">
        <w:rPr>
          <w:rFonts w:ascii="Verdana" w:hAnsi="Verdana"/>
          <w:sz w:val="21"/>
          <w:szCs w:val="21"/>
          <w:lang w:eastAsia="it-IT"/>
        </w:rPr>
        <w:t>via</w:t>
      </w:r>
      <w:r w:rsidR="00A4332C" w:rsidRPr="00861721">
        <w:rPr>
          <w:rFonts w:ascii="Verdana" w:hAnsi="Verdana"/>
          <w:sz w:val="21"/>
          <w:szCs w:val="21"/>
          <w:lang w:eastAsia="it-IT"/>
        </w:rPr>
        <w:t xml:space="preserve"> di completamento. </w:t>
      </w:r>
      <w:r w:rsidR="00B5575E" w:rsidRPr="00861721">
        <w:rPr>
          <w:rFonts w:ascii="Verdana" w:hAnsi="Verdana"/>
          <w:sz w:val="21"/>
          <w:szCs w:val="21"/>
          <w:lang w:eastAsia="it-IT"/>
        </w:rPr>
        <w:t>Nel 2026, i</w:t>
      </w:r>
      <w:r w:rsidR="00A4332C" w:rsidRPr="00861721">
        <w:rPr>
          <w:rFonts w:ascii="Verdana" w:hAnsi="Verdana"/>
          <w:sz w:val="21"/>
          <w:szCs w:val="21"/>
          <w:lang w:eastAsia="it-IT"/>
        </w:rPr>
        <w:t xml:space="preserve"> </w:t>
      </w:r>
      <w:r w:rsidR="00B5575E" w:rsidRPr="00861721">
        <w:rPr>
          <w:rFonts w:ascii="Verdana" w:hAnsi="Verdana"/>
          <w:sz w:val="21"/>
          <w:szCs w:val="21"/>
          <w:lang w:eastAsia="it-IT"/>
        </w:rPr>
        <w:t>contenuti</w:t>
      </w:r>
      <w:r w:rsidR="00A4332C" w:rsidRPr="00861721">
        <w:rPr>
          <w:rFonts w:ascii="Verdana" w:hAnsi="Verdana"/>
          <w:sz w:val="21"/>
          <w:szCs w:val="21"/>
          <w:lang w:eastAsia="it-IT"/>
        </w:rPr>
        <w:t xml:space="preserve"> d</w:t>
      </w:r>
      <w:r w:rsidR="00B5575E" w:rsidRPr="00861721">
        <w:rPr>
          <w:rFonts w:ascii="Verdana" w:hAnsi="Verdana"/>
          <w:sz w:val="21"/>
          <w:szCs w:val="21"/>
          <w:lang w:eastAsia="it-IT"/>
        </w:rPr>
        <w:t>i aggiornamento e analisi delle</w:t>
      </w:r>
      <w:r w:rsidR="00A4332C" w:rsidRPr="00861721">
        <w:rPr>
          <w:rFonts w:ascii="Verdana" w:hAnsi="Verdana"/>
          <w:sz w:val="21"/>
          <w:szCs w:val="21"/>
          <w:lang w:eastAsia="it-IT"/>
        </w:rPr>
        <w:t xml:space="preserve"> mappature </w:t>
      </w:r>
      <w:r w:rsidR="00C746E6" w:rsidRPr="00861721">
        <w:rPr>
          <w:rFonts w:ascii="Verdana" w:hAnsi="Verdana"/>
          <w:sz w:val="21"/>
          <w:szCs w:val="21"/>
          <w:lang w:eastAsia="it-IT"/>
        </w:rPr>
        <w:t xml:space="preserve">condivise nei gruppi di lavoro </w:t>
      </w:r>
      <w:r w:rsidR="00B5575E" w:rsidRPr="00861721">
        <w:rPr>
          <w:rFonts w:ascii="Verdana" w:hAnsi="Verdana"/>
          <w:sz w:val="21"/>
          <w:szCs w:val="21"/>
          <w:lang w:eastAsia="it-IT"/>
        </w:rPr>
        <w:t>saranno oggetto</w:t>
      </w:r>
      <w:r w:rsidR="00A4332C" w:rsidRPr="00861721">
        <w:rPr>
          <w:rFonts w:ascii="Verdana" w:hAnsi="Verdana"/>
          <w:sz w:val="21"/>
          <w:szCs w:val="21"/>
          <w:lang w:eastAsia="it-IT"/>
        </w:rPr>
        <w:t xml:space="preserve"> </w:t>
      </w:r>
      <w:r w:rsidR="00B5575E" w:rsidRPr="00861721">
        <w:rPr>
          <w:rFonts w:ascii="Verdana" w:hAnsi="Verdana"/>
          <w:sz w:val="21"/>
          <w:szCs w:val="21"/>
          <w:lang w:eastAsia="it-IT"/>
        </w:rPr>
        <w:t xml:space="preserve">di </w:t>
      </w:r>
      <w:r w:rsidR="003213FA" w:rsidRPr="00861721">
        <w:rPr>
          <w:rFonts w:ascii="Verdana" w:hAnsi="Verdana"/>
          <w:sz w:val="21"/>
          <w:szCs w:val="21"/>
          <w:lang w:eastAsia="it-IT"/>
        </w:rPr>
        <w:t>spunto</w:t>
      </w:r>
      <w:r w:rsidR="00B5575E" w:rsidRPr="00861721">
        <w:rPr>
          <w:rFonts w:ascii="Verdana" w:hAnsi="Verdana"/>
          <w:sz w:val="21"/>
          <w:szCs w:val="21"/>
          <w:lang w:eastAsia="it-IT"/>
        </w:rPr>
        <w:t xml:space="preserve"> per una eventuale revisione interna del registro dei rischi e delle misure </w:t>
      </w:r>
      <w:r w:rsidR="009A0C71" w:rsidRPr="00861721">
        <w:rPr>
          <w:rFonts w:ascii="Verdana" w:hAnsi="Verdana"/>
          <w:sz w:val="21"/>
          <w:szCs w:val="21"/>
          <w:lang w:eastAsia="it-IT"/>
        </w:rPr>
        <w:t xml:space="preserve">già </w:t>
      </w:r>
      <w:r w:rsidR="00C746E6" w:rsidRPr="00861721">
        <w:rPr>
          <w:rFonts w:ascii="Verdana" w:hAnsi="Verdana"/>
          <w:sz w:val="21"/>
          <w:szCs w:val="21"/>
          <w:lang w:eastAsia="it-IT"/>
        </w:rPr>
        <w:t xml:space="preserve">adottati </w:t>
      </w:r>
      <w:r w:rsidR="00B5575E" w:rsidRPr="00861721">
        <w:rPr>
          <w:rFonts w:ascii="Verdana" w:hAnsi="Verdana"/>
          <w:sz w:val="21"/>
          <w:szCs w:val="21"/>
          <w:lang w:eastAsia="it-IT"/>
        </w:rPr>
        <w:t>d</w:t>
      </w:r>
      <w:r w:rsidR="00C746E6" w:rsidRPr="00861721">
        <w:rPr>
          <w:rFonts w:ascii="Verdana" w:hAnsi="Verdana"/>
          <w:sz w:val="21"/>
          <w:szCs w:val="21"/>
          <w:lang w:eastAsia="it-IT"/>
        </w:rPr>
        <w:t>a</w:t>
      </w:r>
      <w:r w:rsidR="00B5575E" w:rsidRPr="00861721">
        <w:rPr>
          <w:rFonts w:ascii="Verdana" w:hAnsi="Verdana"/>
          <w:sz w:val="21"/>
          <w:szCs w:val="21"/>
          <w:lang w:eastAsia="it-IT"/>
        </w:rPr>
        <w:t xml:space="preserve"> MRI</w:t>
      </w:r>
      <w:r w:rsidR="004D175D" w:rsidRPr="00861721">
        <w:rPr>
          <w:rFonts w:ascii="Verdana" w:hAnsi="Verdana"/>
          <w:sz w:val="21"/>
          <w:szCs w:val="21"/>
          <w:lang w:eastAsia="it-IT"/>
        </w:rPr>
        <w:t xml:space="preserve"> </w:t>
      </w:r>
      <w:r w:rsidR="004D175D" w:rsidRPr="00861721">
        <w:rPr>
          <w:rFonts w:ascii="Verdana" w:hAnsi="Verdana"/>
        </w:rPr>
        <w:t>(rif.to Allegato 2).</w:t>
      </w:r>
    </w:p>
    <w:p w14:paraId="76E79121" w14:textId="1485F8DB" w:rsidR="0068549D" w:rsidRPr="00B7758B" w:rsidRDefault="0068549D">
      <w:pPr>
        <w:shd w:val="clear" w:color="auto" w:fill="FFFFFF"/>
        <w:spacing w:after="150" w:line="240" w:lineRule="auto"/>
        <w:contextualSpacing/>
        <w:jc w:val="both"/>
        <w:rPr>
          <w:rFonts w:ascii="Verdana" w:hAnsi="Verdana"/>
          <w:sz w:val="21"/>
          <w:szCs w:val="21"/>
          <w:lang w:eastAsia="it-IT"/>
        </w:rPr>
      </w:pPr>
    </w:p>
    <w:p w14:paraId="5C530BA7" w14:textId="1114CB05" w:rsidR="00855322" w:rsidRPr="00861721" w:rsidRDefault="00855322" w:rsidP="00855322">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Il RPCT di MRI ha partecipato a tutti gli incontri programmati dei due tavoli</w:t>
      </w:r>
      <w:r w:rsidR="00813913" w:rsidRPr="00861721">
        <w:rPr>
          <w:rFonts w:ascii="Verdana" w:hAnsi="Verdana"/>
          <w:sz w:val="21"/>
          <w:szCs w:val="21"/>
          <w:lang w:eastAsia="it-IT"/>
        </w:rPr>
        <w:t xml:space="preserve"> (complessivamente 15</w:t>
      </w:r>
      <w:r w:rsidR="007B208F" w:rsidRPr="00861721">
        <w:rPr>
          <w:rFonts w:ascii="Verdana" w:hAnsi="Verdana"/>
          <w:sz w:val="21"/>
          <w:szCs w:val="21"/>
          <w:lang w:eastAsia="it-IT"/>
        </w:rPr>
        <w:t xml:space="preserve">) </w:t>
      </w:r>
      <w:r w:rsidR="00350F02" w:rsidRPr="00861721">
        <w:rPr>
          <w:rFonts w:ascii="Verdana" w:hAnsi="Verdana"/>
          <w:sz w:val="21"/>
          <w:szCs w:val="21"/>
          <w:lang w:eastAsia="it-IT"/>
        </w:rPr>
        <w:t xml:space="preserve">e a due momenti di incontro organizzati nell’ambito della Rete per l’Integrità e la Trasparenza, </w:t>
      </w:r>
      <w:r w:rsidRPr="00861721">
        <w:rPr>
          <w:rFonts w:ascii="Verdana" w:hAnsi="Verdana"/>
          <w:sz w:val="21"/>
          <w:szCs w:val="21"/>
          <w:lang w:eastAsia="it-IT"/>
        </w:rPr>
        <w:t>vista la rilevanza dei temi trattati e l’utilità derivante dai qualificati confronti che essi permettono.</w:t>
      </w:r>
      <w:r w:rsidR="00813913" w:rsidRPr="00861721">
        <w:rPr>
          <w:rFonts w:ascii="Verdana" w:hAnsi="Verdana"/>
          <w:sz w:val="21"/>
          <w:szCs w:val="21"/>
          <w:lang w:eastAsia="it-IT"/>
        </w:rPr>
        <w:t xml:space="preserve"> La documentazione acquisita in occasione della partecipazione agli incontri, seppure da adattare all’organizzazione della Società, fornisce un supporto operativo utile a rendere più efficace il sistema di prevenzione della corruzione e della trasparenza adottato dalla MRI.</w:t>
      </w:r>
    </w:p>
    <w:p w14:paraId="78F2E0C7" w14:textId="77777777" w:rsidR="00E274FB" w:rsidRDefault="00E274FB" w:rsidP="00855322">
      <w:pPr>
        <w:shd w:val="clear" w:color="auto" w:fill="FFFFFF"/>
        <w:spacing w:after="150" w:line="240" w:lineRule="auto"/>
        <w:contextualSpacing/>
        <w:jc w:val="both"/>
        <w:rPr>
          <w:rFonts w:ascii="Verdana" w:hAnsi="Verdana"/>
          <w:sz w:val="21"/>
          <w:szCs w:val="21"/>
          <w:lang w:eastAsia="it-IT"/>
        </w:rPr>
      </w:pPr>
    </w:p>
    <w:p w14:paraId="077F36A8" w14:textId="31950FD3" w:rsidR="00A66F80" w:rsidRPr="00861721" w:rsidRDefault="00BB1757" w:rsidP="00855322">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Nel corso del 2025, l</w:t>
      </w:r>
      <w:r w:rsidR="00A66F80" w:rsidRPr="00861721">
        <w:rPr>
          <w:rFonts w:ascii="Verdana" w:hAnsi="Verdana"/>
          <w:sz w:val="21"/>
          <w:szCs w:val="21"/>
          <w:lang w:eastAsia="it-IT"/>
        </w:rPr>
        <w:t xml:space="preserve">a struttura RPCT di MRI ha inoltre partecipato agli incontri tra funzioni privacy </w:t>
      </w:r>
      <w:r w:rsidRPr="00861721">
        <w:rPr>
          <w:rFonts w:ascii="Verdana" w:hAnsi="Verdana"/>
          <w:sz w:val="21"/>
          <w:szCs w:val="21"/>
          <w:lang w:eastAsia="it-IT"/>
        </w:rPr>
        <w:t xml:space="preserve">e RPCT degli enti del SSR Area Metropolitana di Bologna </w:t>
      </w:r>
      <w:r w:rsidR="00A66F80" w:rsidRPr="00861721">
        <w:rPr>
          <w:rFonts w:ascii="Verdana" w:hAnsi="Verdana"/>
          <w:sz w:val="21"/>
          <w:szCs w:val="21"/>
          <w:lang w:eastAsia="it-IT"/>
        </w:rPr>
        <w:t>promossi dal DPO interaziendale</w:t>
      </w:r>
      <w:r w:rsidRPr="00861721">
        <w:rPr>
          <w:rFonts w:ascii="Verdana" w:hAnsi="Verdana"/>
          <w:sz w:val="21"/>
          <w:szCs w:val="21"/>
          <w:lang w:eastAsia="it-IT"/>
        </w:rPr>
        <w:t xml:space="preserve"> per coordinare il trattamento dei dati personali per finalità di trasparenza amministrativa. In seguito alle Linee Guida emanate </w:t>
      </w:r>
      <w:r w:rsidR="00287AD6" w:rsidRPr="00861721">
        <w:rPr>
          <w:rFonts w:ascii="Verdana" w:hAnsi="Verdana"/>
          <w:sz w:val="21"/>
          <w:szCs w:val="21"/>
          <w:lang w:eastAsia="it-IT"/>
        </w:rPr>
        <w:t xml:space="preserve">dal DPO </w:t>
      </w:r>
      <w:r w:rsidRPr="00861721">
        <w:rPr>
          <w:rFonts w:ascii="Verdana" w:hAnsi="Verdana"/>
          <w:sz w:val="21"/>
          <w:szCs w:val="21"/>
          <w:lang w:eastAsia="it-IT"/>
        </w:rPr>
        <w:t>che sono state internamente diffuse ai coordinatori dell’area tecnico-amministrativa sono</w:t>
      </w:r>
      <w:r w:rsidR="003C47A2" w:rsidRPr="00861721">
        <w:rPr>
          <w:rFonts w:ascii="Verdana" w:hAnsi="Verdana"/>
          <w:sz w:val="21"/>
          <w:szCs w:val="21"/>
          <w:lang w:eastAsia="it-IT"/>
        </w:rPr>
        <w:t xml:space="preserve"> anche</w:t>
      </w:r>
      <w:r w:rsidRPr="00861721">
        <w:rPr>
          <w:rFonts w:ascii="Verdana" w:hAnsi="Verdana"/>
          <w:sz w:val="21"/>
          <w:szCs w:val="21"/>
          <w:lang w:eastAsia="it-IT"/>
        </w:rPr>
        <w:t xml:space="preserve"> state attuate azioni per migliorare l’acquisizione dei curriculum vitae </w:t>
      </w:r>
      <w:r w:rsidR="003C47A2" w:rsidRPr="00861721">
        <w:rPr>
          <w:rFonts w:ascii="Verdana" w:hAnsi="Verdana"/>
          <w:sz w:val="21"/>
          <w:szCs w:val="21"/>
          <w:lang w:eastAsia="it-IT"/>
        </w:rPr>
        <w:t>secondo il formato da pubblicare nella sezione di Società Trasparente.</w:t>
      </w:r>
    </w:p>
    <w:p w14:paraId="3A340C29" w14:textId="77777777" w:rsidR="00C81771" w:rsidRDefault="00C81771">
      <w:pPr>
        <w:shd w:val="clear" w:color="auto" w:fill="FFFFFF"/>
        <w:spacing w:after="150" w:line="240" w:lineRule="auto"/>
        <w:contextualSpacing/>
        <w:jc w:val="both"/>
        <w:rPr>
          <w:rFonts w:ascii="Verdana" w:hAnsi="Verdana"/>
          <w:strike/>
          <w:sz w:val="21"/>
          <w:szCs w:val="21"/>
          <w:lang w:eastAsia="it-IT"/>
        </w:rPr>
      </w:pPr>
    </w:p>
    <w:p w14:paraId="4A7549FE" w14:textId="57321DA3" w:rsidR="003C47A2" w:rsidRPr="00861721" w:rsidRDefault="003C47A2">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Tra le attività svolte non programmate nel PTPCT 2025-2027 si segnala l’</w:t>
      </w:r>
      <w:r w:rsidR="008A52D6" w:rsidRPr="00861721">
        <w:rPr>
          <w:rFonts w:ascii="Verdana" w:hAnsi="Verdana"/>
          <w:sz w:val="21"/>
          <w:szCs w:val="21"/>
          <w:lang w:eastAsia="it-IT"/>
        </w:rPr>
        <w:t>ammissione</w:t>
      </w:r>
      <w:r w:rsidRPr="00861721">
        <w:rPr>
          <w:rFonts w:ascii="Verdana" w:hAnsi="Verdana"/>
          <w:sz w:val="21"/>
          <w:szCs w:val="21"/>
          <w:lang w:eastAsia="it-IT"/>
        </w:rPr>
        <w:t xml:space="preserve"> della Società </w:t>
      </w:r>
      <w:r w:rsidR="008A52D6" w:rsidRPr="00861721">
        <w:rPr>
          <w:rFonts w:ascii="Verdana" w:hAnsi="Verdana"/>
          <w:sz w:val="21"/>
          <w:szCs w:val="21"/>
          <w:lang w:eastAsia="it-IT"/>
        </w:rPr>
        <w:t xml:space="preserve">al bando promosso dalla Regione e Unioncamere Emilia-Romagna per il finanziamento della </w:t>
      </w:r>
      <w:r w:rsidR="007766DA" w:rsidRPr="00861721">
        <w:rPr>
          <w:rFonts w:ascii="Verdana" w:hAnsi="Verdana"/>
          <w:sz w:val="21"/>
          <w:szCs w:val="21"/>
          <w:lang w:eastAsia="it-IT"/>
        </w:rPr>
        <w:t>Certificazione della Parità di Genere per il quale la Direzione Sanitaria sta procedendo con la redazione del documento di Bilancio di Genere</w:t>
      </w:r>
      <w:r w:rsidR="00C93101" w:rsidRPr="00861721">
        <w:rPr>
          <w:rFonts w:ascii="Verdana" w:hAnsi="Verdana"/>
          <w:sz w:val="21"/>
          <w:szCs w:val="21"/>
          <w:lang w:eastAsia="it-IT"/>
        </w:rPr>
        <w:t>, utile misura di trasparenza e di sensibili</w:t>
      </w:r>
      <w:r w:rsidR="001C1139" w:rsidRPr="00861721">
        <w:rPr>
          <w:rFonts w:ascii="Verdana" w:hAnsi="Verdana"/>
          <w:sz w:val="21"/>
          <w:szCs w:val="21"/>
          <w:lang w:eastAsia="it-IT"/>
        </w:rPr>
        <w:t>tà specifica verso le politiche di pari opportunità</w:t>
      </w:r>
      <w:r w:rsidR="007766DA" w:rsidRPr="00861721">
        <w:rPr>
          <w:rFonts w:ascii="Verdana" w:hAnsi="Verdana"/>
          <w:sz w:val="21"/>
          <w:szCs w:val="21"/>
          <w:lang w:eastAsia="it-IT"/>
        </w:rPr>
        <w:t>.</w:t>
      </w:r>
    </w:p>
    <w:p w14:paraId="63A226D8" w14:textId="77777777" w:rsidR="008A52D6" w:rsidRDefault="008A52D6">
      <w:pPr>
        <w:shd w:val="clear" w:color="auto" w:fill="FFFFFF"/>
        <w:spacing w:after="150" w:line="240" w:lineRule="auto"/>
        <w:contextualSpacing/>
        <w:jc w:val="both"/>
        <w:rPr>
          <w:rFonts w:ascii="Verdana" w:hAnsi="Verdana"/>
          <w:sz w:val="21"/>
          <w:szCs w:val="21"/>
          <w:lang w:eastAsia="it-IT"/>
        </w:rPr>
      </w:pPr>
    </w:p>
    <w:p w14:paraId="5A1D15B5" w14:textId="77777777" w:rsidR="008A52D6" w:rsidRDefault="008A52D6">
      <w:pPr>
        <w:shd w:val="clear" w:color="auto" w:fill="FFFFFF"/>
        <w:spacing w:after="150" w:line="240" w:lineRule="auto"/>
        <w:contextualSpacing/>
        <w:jc w:val="both"/>
        <w:rPr>
          <w:rFonts w:ascii="Verdana" w:hAnsi="Verdana"/>
          <w:sz w:val="21"/>
          <w:szCs w:val="21"/>
          <w:lang w:eastAsia="it-IT"/>
        </w:rPr>
      </w:pPr>
    </w:p>
    <w:p w14:paraId="56BECCFE" w14:textId="77777777" w:rsidR="00C81771" w:rsidRPr="00C81771" w:rsidRDefault="00DC28D5" w:rsidP="00C81771">
      <w:pPr>
        <w:pStyle w:val="Titolo1"/>
        <w:numPr>
          <w:ilvl w:val="0"/>
          <w:numId w:val="0"/>
        </w:numPr>
        <w:rPr>
          <w:rFonts w:cs="Times New Roman"/>
          <w:lang w:val="it-IT" w:eastAsia="it-IT"/>
        </w:rPr>
      </w:pPr>
      <w:bookmarkStart w:id="8" w:name="_Toc225863528"/>
      <w:r w:rsidRPr="0009315F">
        <w:rPr>
          <w:rFonts w:cs="Times New Roman"/>
          <w:lang w:eastAsia="it-IT"/>
        </w:rPr>
        <w:t>E. COORDINAMENTO CON GLI STRUMENTI DI PROGRAMMAZIONE</w:t>
      </w:r>
      <w:bookmarkEnd w:id="8"/>
    </w:p>
    <w:p w14:paraId="70CB1A0A" w14:textId="77777777" w:rsidR="00C81771" w:rsidRDefault="00C81771">
      <w:pPr>
        <w:shd w:val="clear" w:color="auto" w:fill="FFFFFF"/>
        <w:spacing w:after="150" w:line="240" w:lineRule="auto"/>
        <w:contextualSpacing/>
        <w:jc w:val="both"/>
        <w:rPr>
          <w:rFonts w:ascii="Verdana" w:hAnsi="Verdana"/>
          <w:sz w:val="21"/>
          <w:szCs w:val="21"/>
        </w:rPr>
      </w:pPr>
    </w:p>
    <w:p w14:paraId="3AB2F5CF" w14:textId="77777777" w:rsidR="00CB7ED0" w:rsidRDefault="00DC28D5">
      <w:pPr>
        <w:shd w:val="clear" w:color="auto" w:fill="FFFFFF"/>
        <w:spacing w:after="150" w:line="240" w:lineRule="auto"/>
        <w:contextualSpacing/>
        <w:jc w:val="both"/>
        <w:rPr>
          <w:rFonts w:ascii="Verdana" w:hAnsi="Verdana"/>
          <w:sz w:val="21"/>
          <w:szCs w:val="21"/>
        </w:rPr>
      </w:pPr>
      <w:r w:rsidRPr="005F0604">
        <w:rPr>
          <w:rFonts w:ascii="Verdana" w:hAnsi="Verdana"/>
          <w:sz w:val="21"/>
          <w:szCs w:val="21"/>
        </w:rPr>
        <w:t xml:space="preserve">La definizione degli obiettivi annuali aziendali, che costituisce la base della costruzione del budget aziendale e il fondamento per l’azione dei professionisti, si pone non solo come sistema di valutazione diretto della performance organizzativa ed individuale ma anche come strumento di miglioramento della qualità del servizio pubblico offerto da MRI, della valorizzazione delle competenze professionali tecniche e gestionali e dell’integrità e della trasparenza dell’azione amministrativa e gestionale. </w:t>
      </w:r>
    </w:p>
    <w:p w14:paraId="7E8CC98E" w14:textId="77777777" w:rsidR="00CB7ED0" w:rsidRPr="004E15D1" w:rsidRDefault="00CB7ED0" w:rsidP="00CB7ED0">
      <w:pPr>
        <w:shd w:val="clear" w:color="auto" w:fill="FFFFFF"/>
        <w:spacing w:after="150" w:line="240" w:lineRule="auto"/>
        <w:contextualSpacing/>
        <w:jc w:val="both"/>
        <w:rPr>
          <w:rFonts w:ascii="Verdana" w:hAnsi="Verdana"/>
          <w:sz w:val="21"/>
          <w:szCs w:val="21"/>
        </w:rPr>
      </w:pPr>
      <w:r w:rsidRPr="00CE44BE">
        <w:rPr>
          <w:rFonts w:ascii="Verdana" w:hAnsi="Verdana"/>
          <w:sz w:val="21"/>
          <w:szCs w:val="21"/>
        </w:rPr>
        <w:t>Gli obiettivi</w:t>
      </w:r>
      <w:r w:rsidRPr="004E15D1">
        <w:rPr>
          <w:rFonts w:ascii="Verdana" w:hAnsi="Verdana"/>
          <w:sz w:val="21"/>
          <w:szCs w:val="21"/>
        </w:rPr>
        <w:t xml:space="preserve"> previsti nel presente piano si pongono quindi in coordinamento e completano quelli indicati nei documenti </w:t>
      </w:r>
      <w:r w:rsidR="003E6586" w:rsidRPr="004E15D1">
        <w:rPr>
          <w:rFonts w:ascii="Verdana" w:hAnsi="Verdana"/>
          <w:sz w:val="21"/>
          <w:szCs w:val="21"/>
        </w:rPr>
        <w:t xml:space="preserve">strategici e </w:t>
      </w:r>
      <w:r w:rsidRPr="004E15D1">
        <w:rPr>
          <w:rFonts w:ascii="Verdana" w:hAnsi="Verdana"/>
          <w:sz w:val="21"/>
          <w:szCs w:val="21"/>
        </w:rPr>
        <w:t>di programmazione aziendale.</w:t>
      </w:r>
    </w:p>
    <w:p w14:paraId="7A1D5819" w14:textId="77777777" w:rsidR="000D0916" w:rsidRDefault="000D0916">
      <w:pPr>
        <w:shd w:val="clear" w:color="auto" w:fill="FFFFFF"/>
        <w:spacing w:after="150" w:line="240" w:lineRule="auto"/>
        <w:contextualSpacing/>
        <w:jc w:val="both"/>
        <w:rPr>
          <w:rFonts w:ascii="Verdana" w:hAnsi="Verdana"/>
        </w:rPr>
      </w:pPr>
    </w:p>
    <w:p w14:paraId="52C9BFAD" w14:textId="77777777" w:rsidR="00EE1FCC" w:rsidRPr="0009315F" w:rsidRDefault="00EE1FCC">
      <w:pPr>
        <w:shd w:val="clear" w:color="auto" w:fill="FFFFFF"/>
        <w:spacing w:after="150" w:line="240" w:lineRule="auto"/>
        <w:contextualSpacing/>
        <w:jc w:val="both"/>
        <w:rPr>
          <w:rFonts w:ascii="Verdana" w:hAnsi="Verdana"/>
        </w:rPr>
      </w:pPr>
    </w:p>
    <w:p w14:paraId="20CB2EC9" w14:textId="77777777" w:rsidR="00DC28D5" w:rsidRDefault="00DC28D5" w:rsidP="00EE1FCC">
      <w:pPr>
        <w:pStyle w:val="Titolo1"/>
        <w:numPr>
          <w:ilvl w:val="0"/>
          <w:numId w:val="0"/>
        </w:numPr>
        <w:spacing w:after="30"/>
        <w:contextualSpacing/>
        <w:rPr>
          <w:rFonts w:cs="Times New Roman"/>
          <w:lang w:eastAsia="it-IT"/>
        </w:rPr>
      </w:pPr>
      <w:bookmarkStart w:id="9" w:name="_Toc225863529"/>
      <w:r w:rsidRPr="00F442D4">
        <w:rPr>
          <w:rFonts w:cs="Times New Roman"/>
          <w:lang w:eastAsia="it-IT"/>
        </w:rPr>
        <w:t>F. ANALISI DEL CONTESTO ESTERNO</w:t>
      </w:r>
      <w:bookmarkEnd w:id="9"/>
    </w:p>
    <w:p w14:paraId="2DCE8DD1" w14:textId="77777777" w:rsidR="00EE1FCC" w:rsidRDefault="00EE1FCC" w:rsidP="00EE1FCC">
      <w:pPr>
        <w:pStyle w:val="Default"/>
        <w:spacing w:after="150"/>
        <w:contextualSpacing/>
        <w:jc w:val="both"/>
        <w:rPr>
          <w:rFonts w:ascii="Verdana" w:hAnsi="Verdana" w:cs="Times New Roman"/>
          <w:color w:val="auto"/>
          <w:sz w:val="21"/>
          <w:szCs w:val="21"/>
        </w:rPr>
      </w:pPr>
    </w:p>
    <w:p w14:paraId="682358A0" w14:textId="77777777" w:rsidR="00DC28D5" w:rsidRDefault="00F94CCA" w:rsidP="00EE1FCC">
      <w:pPr>
        <w:pStyle w:val="Default"/>
        <w:spacing w:after="150"/>
        <w:jc w:val="both"/>
        <w:rPr>
          <w:rFonts w:ascii="Verdana" w:hAnsi="Verdana" w:cs="Times New Roman"/>
          <w:color w:val="auto"/>
          <w:sz w:val="21"/>
          <w:szCs w:val="21"/>
        </w:rPr>
      </w:pPr>
      <w:r w:rsidRPr="0073047B">
        <w:rPr>
          <w:rFonts w:ascii="Verdana" w:hAnsi="Verdana" w:cs="Times New Roman"/>
          <w:color w:val="auto"/>
          <w:sz w:val="21"/>
          <w:szCs w:val="21"/>
        </w:rPr>
        <w:t>Al fine dell’analisi del contesto esterno per la redazione del presente Piano, anche per il 202</w:t>
      </w:r>
      <w:r w:rsidR="00611AA6">
        <w:rPr>
          <w:rFonts w:ascii="Verdana" w:hAnsi="Verdana" w:cs="Times New Roman"/>
          <w:color w:val="auto"/>
          <w:sz w:val="21"/>
          <w:szCs w:val="21"/>
        </w:rPr>
        <w:t>5</w:t>
      </w:r>
      <w:r w:rsidRPr="0073047B">
        <w:rPr>
          <w:rFonts w:ascii="Verdana" w:hAnsi="Verdana" w:cs="Times New Roman"/>
          <w:color w:val="auto"/>
          <w:sz w:val="21"/>
          <w:szCs w:val="21"/>
        </w:rPr>
        <w:t>, si pubblica</w:t>
      </w:r>
      <w:r w:rsidR="00C57446" w:rsidRPr="0073047B">
        <w:rPr>
          <w:rFonts w:ascii="Verdana" w:hAnsi="Verdana" w:cs="Times New Roman"/>
          <w:color w:val="auto"/>
          <w:sz w:val="21"/>
          <w:szCs w:val="21"/>
        </w:rPr>
        <w:t xml:space="preserve"> il</w:t>
      </w:r>
      <w:r w:rsidR="00DC28D5" w:rsidRPr="0073047B">
        <w:rPr>
          <w:rFonts w:ascii="Verdana" w:hAnsi="Verdana" w:cs="Times New Roman"/>
          <w:color w:val="auto"/>
          <w:sz w:val="21"/>
          <w:szCs w:val="21"/>
        </w:rPr>
        <w:t xml:space="preserve"> prodotto di una collaborazione interistituzionale, nell’ambito della “Rete per l’Integrità e la Trasparenza”</w:t>
      </w:r>
      <w:r w:rsidR="001E3957" w:rsidRPr="0073047B">
        <w:rPr>
          <w:rFonts w:ascii="Verdana" w:hAnsi="Verdana" w:cs="Times New Roman"/>
          <w:color w:val="auto"/>
          <w:sz w:val="21"/>
          <w:szCs w:val="21"/>
        </w:rPr>
        <w:t xml:space="preserve"> </w:t>
      </w:r>
      <w:r w:rsidR="00C03317" w:rsidRPr="0073047B">
        <w:rPr>
          <w:rStyle w:val="Rimandonotaapidipagina"/>
          <w:rFonts w:ascii="Verdana" w:hAnsi="Verdana" w:cs="Times New Roman"/>
          <w:color w:val="auto"/>
          <w:sz w:val="21"/>
          <w:szCs w:val="21"/>
        </w:rPr>
        <w:footnoteReference w:id="4"/>
      </w:r>
      <w:r w:rsidR="00C03317" w:rsidRPr="0073047B">
        <w:rPr>
          <w:rFonts w:ascii="Verdana" w:hAnsi="Verdana" w:cs="Times New Roman"/>
          <w:color w:val="auto"/>
          <w:sz w:val="21"/>
          <w:szCs w:val="21"/>
        </w:rPr>
        <w:t xml:space="preserve"> </w:t>
      </w:r>
      <w:r w:rsidR="00DC28D5" w:rsidRPr="0073047B">
        <w:rPr>
          <w:rFonts w:ascii="Verdana" w:hAnsi="Verdana" w:cs="Times New Roman"/>
          <w:color w:val="auto"/>
          <w:sz w:val="21"/>
          <w:szCs w:val="21"/>
        </w:rPr>
        <w:t>promossa dalla Regione Emilia-Romagna</w:t>
      </w:r>
      <w:r w:rsidR="0049778C" w:rsidRPr="0073047B">
        <w:rPr>
          <w:rFonts w:ascii="Verdana" w:hAnsi="Verdana" w:cs="Times New Roman"/>
          <w:color w:val="auto"/>
          <w:sz w:val="21"/>
          <w:szCs w:val="21"/>
        </w:rPr>
        <w:t>, che annualmente viene aggiornato e reso disponibile per gli enti</w:t>
      </w:r>
      <w:r w:rsidR="001610B3" w:rsidRPr="0073047B">
        <w:rPr>
          <w:rFonts w:ascii="Verdana" w:hAnsi="Verdana" w:cs="Times New Roman"/>
          <w:color w:val="auto"/>
          <w:sz w:val="21"/>
          <w:szCs w:val="21"/>
        </w:rPr>
        <w:t xml:space="preserve"> e le società</w:t>
      </w:r>
      <w:r w:rsidR="0049778C" w:rsidRPr="0073047B">
        <w:rPr>
          <w:rFonts w:ascii="Verdana" w:hAnsi="Verdana" w:cs="Times New Roman"/>
          <w:color w:val="auto"/>
          <w:sz w:val="21"/>
          <w:szCs w:val="21"/>
        </w:rPr>
        <w:t xml:space="preserve"> </w:t>
      </w:r>
      <w:r w:rsidR="001E2891" w:rsidRPr="0073047B">
        <w:rPr>
          <w:rFonts w:ascii="Verdana" w:hAnsi="Verdana" w:cs="Times New Roman"/>
          <w:color w:val="auto"/>
          <w:sz w:val="21"/>
          <w:szCs w:val="21"/>
        </w:rPr>
        <w:t xml:space="preserve">del territorio regionale </w:t>
      </w:r>
      <w:r w:rsidR="0049778C" w:rsidRPr="0073047B">
        <w:rPr>
          <w:rFonts w:ascii="Verdana" w:hAnsi="Verdana" w:cs="Times New Roman"/>
          <w:color w:val="auto"/>
          <w:sz w:val="21"/>
          <w:szCs w:val="21"/>
        </w:rPr>
        <w:t>aderenti alla rete</w:t>
      </w:r>
      <w:r w:rsidR="00C57446" w:rsidRPr="0073047B">
        <w:rPr>
          <w:rFonts w:ascii="Verdana" w:hAnsi="Verdana" w:cs="Times New Roman"/>
          <w:color w:val="auto"/>
          <w:sz w:val="21"/>
          <w:szCs w:val="21"/>
        </w:rPr>
        <w:t>.</w:t>
      </w:r>
    </w:p>
    <w:p w14:paraId="74B05C79" w14:textId="77577301" w:rsidR="00FC6FFD" w:rsidRDefault="00FC6FFD" w:rsidP="00512F3A">
      <w:pPr>
        <w:pStyle w:val="Default"/>
        <w:spacing w:after="150"/>
        <w:jc w:val="both"/>
        <w:rPr>
          <w:rFonts w:ascii="Verdana" w:hAnsi="Verdana" w:cs="Times New Roman"/>
          <w:color w:val="auto"/>
          <w:sz w:val="21"/>
          <w:szCs w:val="21"/>
        </w:rPr>
      </w:pPr>
      <w:r w:rsidRPr="00031BB8">
        <w:rPr>
          <w:rFonts w:ascii="Verdana" w:hAnsi="Verdana" w:cs="Times New Roman"/>
          <w:color w:val="auto"/>
          <w:sz w:val="21"/>
          <w:szCs w:val="21"/>
        </w:rPr>
        <w:t xml:space="preserve">Dall’analisi dei dati forniti dall’Ufficio Studi di Unioncamere Emilia-Romagna, per quanto riguarda la descrizione aggiornata dello scenario economico-sociale del territorio regionale e, dall’Area Legalità </w:t>
      </w:r>
      <w:r w:rsidR="00FD7A2E">
        <w:rPr>
          <w:rFonts w:ascii="Verdana" w:hAnsi="Verdana" w:cs="Times New Roman"/>
          <w:color w:val="auto"/>
          <w:sz w:val="21"/>
          <w:szCs w:val="21"/>
        </w:rPr>
        <w:t xml:space="preserve">della Segreteria degli Affari Generali </w:t>
      </w:r>
      <w:r w:rsidR="00471DCF" w:rsidRPr="00031BB8">
        <w:rPr>
          <w:rFonts w:ascii="Verdana" w:hAnsi="Verdana" w:cs="Times New Roman"/>
          <w:color w:val="auto"/>
          <w:sz w:val="21"/>
          <w:szCs w:val="21"/>
        </w:rPr>
        <w:t>della</w:t>
      </w:r>
      <w:r w:rsidRPr="00031BB8">
        <w:rPr>
          <w:rFonts w:ascii="Verdana" w:hAnsi="Verdana" w:cs="Times New Roman"/>
          <w:color w:val="auto"/>
          <w:sz w:val="21"/>
          <w:szCs w:val="21"/>
        </w:rPr>
        <w:t xml:space="preserve"> Presidenza della Giunta regionale, con riferimento al </w:t>
      </w:r>
      <w:r w:rsidR="00FE7740">
        <w:rPr>
          <w:rFonts w:ascii="Verdana" w:hAnsi="Verdana" w:cs="Times New Roman"/>
          <w:color w:val="auto"/>
          <w:sz w:val="21"/>
          <w:szCs w:val="21"/>
        </w:rPr>
        <w:t>quadro</w:t>
      </w:r>
      <w:r w:rsidRPr="00031BB8">
        <w:rPr>
          <w:rFonts w:ascii="Verdana" w:hAnsi="Verdana" w:cs="Times New Roman"/>
          <w:color w:val="auto"/>
          <w:sz w:val="21"/>
          <w:szCs w:val="21"/>
        </w:rPr>
        <w:t xml:space="preserve"> criminologico </w:t>
      </w:r>
      <w:r w:rsidR="00FE7740">
        <w:rPr>
          <w:rFonts w:ascii="Verdana" w:hAnsi="Verdana" w:cs="Times New Roman"/>
          <w:color w:val="auto"/>
          <w:sz w:val="21"/>
          <w:szCs w:val="21"/>
        </w:rPr>
        <w:t>dell’Emilia-Romagna</w:t>
      </w:r>
      <w:r w:rsidRPr="00031BB8">
        <w:rPr>
          <w:rFonts w:ascii="Verdana" w:hAnsi="Verdana" w:cs="Times New Roman"/>
          <w:color w:val="auto"/>
          <w:sz w:val="21"/>
          <w:szCs w:val="21"/>
        </w:rPr>
        <w:t xml:space="preserve">, emerge in sintesi </w:t>
      </w:r>
      <w:r w:rsidR="00481C86" w:rsidRPr="00031BB8">
        <w:rPr>
          <w:rFonts w:ascii="Verdana" w:hAnsi="Verdana" w:cs="Times New Roman"/>
          <w:color w:val="auto"/>
          <w:sz w:val="21"/>
          <w:szCs w:val="21"/>
        </w:rPr>
        <w:t>il quadro</w:t>
      </w:r>
      <w:r w:rsidRPr="00031BB8">
        <w:rPr>
          <w:rFonts w:ascii="Verdana" w:hAnsi="Verdana" w:cs="Times New Roman"/>
          <w:color w:val="auto"/>
          <w:sz w:val="21"/>
          <w:szCs w:val="21"/>
        </w:rPr>
        <w:t xml:space="preserve"> di seguito</w:t>
      </w:r>
      <w:r w:rsidR="002F1C56" w:rsidRPr="00031BB8">
        <w:rPr>
          <w:rFonts w:ascii="Verdana" w:hAnsi="Verdana" w:cs="Times New Roman"/>
          <w:color w:val="auto"/>
          <w:sz w:val="21"/>
          <w:szCs w:val="21"/>
        </w:rPr>
        <w:t xml:space="preserve"> riepilogat</w:t>
      </w:r>
      <w:r w:rsidR="0049778C" w:rsidRPr="00031BB8">
        <w:rPr>
          <w:rFonts w:ascii="Verdana" w:hAnsi="Verdana" w:cs="Times New Roman"/>
          <w:color w:val="auto"/>
          <w:sz w:val="21"/>
          <w:szCs w:val="21"/>
        </w:rPr>
        <w:t>o</w:t>
      </w:r>
      <w:r w:rsidRPr="00031BB8">
        <w:rPr>
          <w:rFonts w:ascii="Verdana" w:hAnsi="Verdana" w:cs="Times New Roman"/>
          <w:color w:val="auto"/>
          <w:sz w:val="21"/>
          <w:szCs w:val="21"/>
        </w:rPr>
        <w:t>.</w:t>
      </w:r>
    </w:p>
    <w:p w14:paraId="7CF82E0F" w14:textId="3E2A0636" w:rsidR="00975A10" w:rsidRPr="00031BB8" w:rsidRDefault="00975A10" w:rsidP="00512F3A">
      <w:pPr>
        <w:pStyle w:val="Default"/>
        <w:spacing w:after="150"/>
        <w:jc w:val="both"/>
        <w:rPr>
          <w:rFonts w:ascii="Verdana" w:hAnsi="Verdana" w:cs="Times New Roman"/>
          <w:color w:val="auto"/>
          <w:sz w:val="21"/>
          <w:szCs w:val="21"/>
        </w:rPr>
      </w:pPr>
      <w:r>
        <w:rPr>
          <w:rFonts w:ascii="Verdana" w:hAnsi="Verdana" w:cs="Times New Roman"/>
          <w:color w:val="auto"/>
          <w:sz w:val="21"/>
          <w:szCs w:val="21"/>
        </w:rPr>
        <w:t>SCENARIO ECONOMICO-SOCIALE</w:t>
      </w:r>
    </w:p>
    <w:p w14:paraId="20FDFD32" w14:textId="7EBB9BBF" w:rsidR="00031BB8" w:rsidRDefault="00031BB8" w:rsidP="00512F3A">
      <w:pPr>
        <w:pStyle w:val="Default"/>
        <w:spacing w:after="150"/>
        <w:jc w:val="both"/>
        <w:rPr>
          <w:rFonts w:ascii="Verdana" w:hAnsi="Verdana" w:cs="Times New Roman"/>
          <w:color w:val="auto"/>
          <w:sz w:val="21"/>
          <w:szCs w:val="21"/>
        </w:rPr>
      </w:pPr>
      <w:r w:rsidRPr="006E0B80">
        <w:rPr>
          <w:rFonts w:ascii="Verdana" w:hAnsi="Verdana" w:cs="Times New Roman"/>
          <w:color w:val="auto"/>
          <w:sz w:val="21"/>
          <w:szCs w:val="21"/>
        </w:rPr>
        <w:t>Il settore delle costruzioni ha di nuovo contribuito nel 2025 a trainare l’economia regionale</w:t>
      </w:r>
      <w:r w:rsidR="00E64B4B" w:rsidRPr="006E0B80">
        <w:rPr>
          <w:rFonts w:ascii="Verdana" w:hAnsi="Verdana" w:cs="Times New Roman"/>
          <w:color w:val="auto"/>
          <w:sz w:val="21"/>
          <w:szCs w:val="21"/>
        </w:rPr>
        <w:t xml:space="preserve"> con una ripresa anche dell’attività industriale e lievemente dei servizi. La crescita del PIL regionale è stata sostenuta dalla domanda interna, in particolare da una lieve accelerazione dei consumi e da una più marcata degli investimenti, a fronte di una nuova riduzione delle esportazioni, ma più contenuta di quella dello scorso anno. Il ritmo dell’attività economica dovrebbe accelerare lievemente il passo anche nel 2026 e nel lungo periodo l’andamento dell’economia regionale appare migliore rispetto a quello nazionale.</w:t>
      </w:r>
    </w:p>
    <w:p w14:paraId="5D7696F7" w14:textId="020A92C2" w:rsidR="00975A10" w:rsidRDefault="00975A10" w:rsidP="00512F3A">
      <w:pPr>
        <w:pStyle w:val="Default"/>
        <w:spacing w:after="150"/>
        <w:jc w:val="both"/>
        <w:rPr>
          <w:rFonts w:ascii="Verdana" w:hAnsi="Verdana" w:cs="Times New Roman"/>
          <w:color w:val="auto"/>
          <w:sz w:val="21"/>
          <w:szCs w:val="21"/>
        </w:rPr>
      </w:pPr>
      <w:r>
        <w:rPr>
          <w:rFonts w:ascii="Verdana" w:hAnsi="Verdana" w:cs="Times New Roman"/>
          <w:color w:val="auto"/>
          <w:sz w:val="21"/>
          <w:szCs w:val="21"/>
        </w:rPr>
        <w:t>QUADRO CRIMINOLOGICO</w:t>
      </w:r>
    </w:p>
    <w:p w14:paraId="2E9BA5B5" w14:textId="5880B321" w:rsidR="00DF742D" w:rsidRDefault="00DF742D" w:rsidP="00512F3A">
      <w:pPr>
        <w:pStyle w:val="Default"/>
        <w:spacing w:after="150"/>
        <w:jc w:val="both"/>
        <w:rPr>
          <w:rFonts w:ascii="Verdana" w:hAnsi="Verdana" w:cs="Times New Roman"/>
          <w:color w:val="auto"/>
          <w:sz w:val="21"/>
          <w:szCs w:val="21"/>
        </w:rPr>
      </w:pPr>
      <w:r>
        <w:rPr>
          <w:rFonts w:ascii="Verdana" w:hAnsi="Verdana" w:cs="Times New Roman"/>
          <w:color w:val="auto"/>
          <w:sz w:val="21"/>
          <w:szCs w:val="21"/>
        </w:rPr>
        <w:t>L’Emilia-Romagna si colloca tra i territori più attrattivi del Paese per le organizzazioni mafiose la cui strategia si basa su un approccio imprenditoriale orientato a penetrare silenziosamente il tessuto economico e produttivo di settori di fondamentale importanza come quelli dell’edilizia, dei trasporti e della logistica, della ristorazione, del commercio, addirittura della distribuzione dell’energia. L’analisi interna al territorio delinea uno scenario sfaccettato, in cui le province mostrano profili di rischio diversi tra loro a seconda del tipo di reato, sia rispetto alle dinamiche evolutive dei reati stessi sia in termini di intensità.</w:t>
      </w:r>
    </w:p>
    <w:p w14:paraId="0B7C2517" w14:textId="0B8E6096" w:rsidR="003D359E" w:rsidRPr="009870C1" w:rsidRDefault="003D359E" w:rsidP="003D359E">
      <w:pPr>
        <w:pStyle w:val="Default"/>
        <w:spacing w:after="150"/>
        <w:jc w:val="both"/>
        <w:rPr>
          <w:rFonts w:ascii="Verdana" w:hAnsi="Verdana" w:cs="Times New Roman"/>
          <w:color w:val="auto"/>
          <w:sz w:val="21"/>
          <w:szCs w:val="21"/>
        </w:rPr>
      </w:pPr>
      <w:r w:rsidRPr="009870C1">
        <w:rPr>
          <w:rFonts w:ascii="Verdana" w:hAnsi="Verdana" w:cs="Times New Roman"/>
          <w:color w:val="auto"/>
          <w:sz w:val="21"/>
          <w:szCs w:val="21"/>
        </w:rPr>
        <w:t>La corruzione in Emilia-Romagna incide meno che in gran parte del resto della P</w:t>
      </w:r>
      <w:r w:rsidR="009870C1" w:rsidRPr="009870C1">
        <w:rPr>
          <w:rFonts w:ascii="Verdana" w:hAnsi="Verdana" w:cs="Times New Roman"/>
          <w:color w:val="auto"/>
          <w:sz w:val="21"/>
          <w:szCs w:val="21"/>
        </w:rPr>
        <w:t>aese</w:t>
      </w:r>
      <w:r w:rsidRPr="009870C1">
        <w:rPr>
          <w:rFonts w:ascii="Verdana" w:hAnsi="Verdana" w:cs="Times New Roman"/>
          <w:color w:val="auto"/>
          <w:sz w:val="21"/>
          <w:szCs w:val="21"/>
        </w:rPr>
        <w:t>. Il valore dell’indice di questa fattispecie criminale per l’Emilia-Romagna è pari a 0,</w:t>
      </w:r>
      <w:r w:rsidR="009870C1" w:rsidRPr="009870C1">
        <w:rPr>
          <w:rFonts w:ascii="Verdana" w:hAnsi="Verdana" w:cs="Times New Roman"/>
          <w:color w:val="auto"/>
          <w:sz w:val="21"/>
          <w:szCs w:val="21"/>
        </w:rPr>
        <w:t>5</w:t>
      </w:r>
      <w:r w:rsidRPr="009870C1">
        <w:rPr>
          <w:rFonts w:ascii="Verdana" w:hAnsi="Verdana" w:cs="Times New Roman"/>
          <w:color w:val="auto"/>
          <w:sz w:val="21"/>
          <w:szCs w:val="21"/>
        </w:rPr>
        <w:t xml:space="preserve"> ogni 100 mila abitanti – un valore, questo, in linea con il resto delle regioni del Nord-Est</w:t>
      </w:r>
      <w:r w:rsidR="009870C1">
        <w:rPr>
          <w:rFonts w:ascii="Verdana" w:hAnsi="Verdana" w:cs="Times New Roman"/>
          <w:color w:val="auto"/>
          <w:sz w:val="21"/>
          <w:szCs w:val="21"/>
        </w:rPr>
        <w:t xml:space="preserve"> pari a 0,4</w:t>
      </w:r>
      <w:r w:rsidRPr="009870C1">
        <w:rPr>
          <w:rFonts w:ascii="Verdana" w:hAnsi="Verdana" w:cs="Times New Roman"/>
          <w:color w:val="auto"/>
          <w:sz w:val="21"/>
          <w:szCs w:val="21"/>
        </w:rPr>
        <w:t xml:space="preserve"> – mentre quello dell’Italia è di 0,</w:t>
      </w:r>
      <w:r w:rsidR="009870C1" w:rsidRPr="009870C1">
        <w:rPr>
          <w:rFonts w:ascii="Verdana" w:hAnsi="Verdana" w:cs="Times New Roman"/>
          <w:color w:val="auto"/>
          <w:sz w:val="21"/>
          <w:szCs w:val="21"/>
        </w:rPr>
        <w:t>8</w:t>
      </w:r>
      <w:r w:rsidRPr="009870C1">
        <w:rPr>
          <w:rFonts w:ascii="Verdana" w:hAnsi="Verdana" w:cs="Times New Roman"/>
          <w:color w:val="auto"/>
          <w:sz w:val="21"/>
          <w:szCs w:val="21"/>
        </w:rPr>
        <w:t xml:space="preserve"> ogni 100 mila abitanti. La regione dove il valore dell’indice risulta apprezzabilmente più elevato della media regionale sono Ferrara e Rimini (0,9 ogni 100 mila abitanti).</w:t>
      </w:r>
      <w:r w:rsidR="009870C1" w:rsidRPr="009870C1">
        <w:rPr>
          <w:rFonts w:ascii="Verdana" w:hAnsi="Verdana" w:cs="Times New Roman"/>
          <w:color w:val="auto"/>
          <w:sz w:val="21"/>
          <w:szCs w:val="21"/>
        </w:rPr>
        <w:t xml:space="preserve"> </w:t>
      </w:r>
      <w:r w:rsidRPr="009870C1">
        <w:rPr>
          <w:rFonts w:ascii="Verdana" w:hAnsi="Verdana" w:cs="Times New Roman"/>
          <w:color w:val="auto"/>
          <w:sz w:val="21"/>
          <w:szCs w:val="21"/>
        </w:rPr>
        <w:t>I dati riportati fanno riferimento al periodo 2008-202</w:t>
      </w:r>
      <w:r w:rsidR="009870C1" w:rsidRPr="009870C1">
        <w:rPr>
          <w:rFonts w:ascii="Verdana" w:hAnsi="Verdana" w:cs="Times New Roman"/>
          <w:color w:val="auto"/>
          <w:sz w:val="21"/>
          <w:szCs w:val="21"/>
        </w:rPr>
        <w:t>3</w:t>
      </w:r>
      <w:r w:rsidRPr="009870C1">
        <w:rPr>
          <w:rFonts w:ascii="Verdana" w:hAnsi="Verdana" w:cs="Times New Roman"/>
          <w:color w:val="auto"/>
          <w:sz w:val="21"/>
          <w:szCs w:val="21"/>
        </w:rPr>
        <w:t>.</w:t>
      </w:r>
    </w:p>
    <w:p w14:paraId="34A7975B" w14:textId="5906539E" w:rsidR="003D359E" w:rsidRDefault="009870C1" w:rsidP="003D359E">
      <w:pPr>
        <w:pStyle w:val="Default"/>
        <w:spacing w:after="150"/>
        <w:jc w:val="both"/>
        <w:rPr>
          <w:rFonts w:ascii="Verdana" w:hAnsi="Verdana" w:cs="Times New Roman"/>
          <w:color w:val="auto"/>
          <w:sz w:val="21"/>
          <w:szCs w:val="21"/>
        </w:rPr>
      </w:pPr>
      <w:r w:rsidRPr="009870C1">
        <w:rPr>
          <w:rFonts w:ascii="Verdana" w:hAnsi="Verdana" w:cs="Times New Roman"/>
          <w:color w:val="auto"/>
          <w:sz w:val="21"/>
          <w:szCs w:val="21"/>
        </w:rPr>
        <w:t xml:space="preserve">Il riciclaggio e la corruzione rappresentano due fenomeni strettamente interconnessi, che spesso coesistono all’interno dello stesso sistema di criminalità economica e organizzata. Entrambi sono in grado di influenzare profondamente l’economia e il mercato, di compromettere la fiducia dei cittadini nelle istituzioni e, qualora assumano una rilevanza sistemica, di mettere a rischio gli assetti democratici di un paese. </w:t>
      </w:r>
      <w:r w:rsidR="003D359E" w:rsidRPr="009870C1">
        <w:rPr>
          <w:rFonts w:ascii="Verdana" w:hAnsi="Verdana" w:cs="Times New Roman"/>
          <w:color w:val="auto"/>
          <w:sz w:val="21"/>
          <w:szCs w:val="21"/>
        </w:rPr>
        <w:t>Accade così che le regioni che detengono tassi elevati di corruzione siano anche quelle dove il reato di riciclaggio è più frequente e viceversa.</w:t>
      </w:r>
    </w:p>
    <w:p w14:paraId="1C665A26" w14:textId="12EC18F9" w:rsidR="001D69D6" w:rsidRPr="00EC6074" w:rsidRDefault="00EC6074" w:rsidP="00512F3A">
      <w:pPr>
        <w:pStyle w:val="Default"/>
        <w:spacing w:after="150"/>
        <w:jc w:val="both"/>
        <w:rPr>
          <w:rFonts w:ascii="Verdana" w:hAnsi="Verdana" w:cs="Times New Roman"/>
          <w:color w:val="auto"/>
          <w:sz w:val="21"/>
          <w:szCs w:val="21"/>
        </w:rPr>
      </w:pPr>
      <w:r w:rsidRPr="00EC6074">
        <w:rPr>
          <w:rFonts w:ascii="Verdana" w:hAnsi="Verdana" w:cs="Times New Roman"/>
          <w:color w:val="auto"/>
          <w:sz w:val="21"/>
          <w:szCs w:val="21"/>
        </w:rPr>
        <w:t xml:space="preserve">L’unità di Informazione Finanziaria (UIF), istituita presso la Banca d’Italia con il D. Lgs. 231/2007 (cornice legislativa dell’antiriciclaggio in Italia) assume una funzione cruciale come autorità deputata alla raccolta e all’analisi dei flussi finanziari sospetti. </w:t>
      </w:r>
      <w:r w:rsidR="00193F0B" w:rsidRPr="00EC6074">
        <w:rPr>
          <w:rFonts w:ascii="Verdana" w:hAnsi="Verdana" w:cs="Times New Roman"/>
          <w:color w:val="auto"/>
          <w:sz w:val="21"/>
          <w:szCs w:val="21"/>
        </w:rPr>
        <w:t xml:space="preserve">L’Emilia-Romagna risulta essere la quinta regione in Italia per numero di operazioni sospette segnalate – dopo la Lombardia, il Lazio, la Campania e il Veneto -, sebbene l’incidenza di queste operazioni sulla popolazione in regione risulti inferiore alla media dell’Italia e </w:t>
      </w:r>
      <w:r w:rsidR="00173119" w:rsidRPr="00EC6074">
        <w:rPr>
          <w:rFonts w:ascii="Verdana" w:hAnsi="Verdana" w:cs="Times New Roman"/>
          <w:color w:val="auto"/>
          <w:sz w:val="21"/>
          <w:szCs w:val="21"/>
        </w:rPr>
        <w:t>ben</w:t>
      </w:r>
      <w:r w:rsidR="00193F0B" w:rsidRPr="00EC6074">
        <w:rPr>
          <w:rFonts w:ascii="Verdana" w:hAnsi="Verdana" w:cs="Times New Roman"/>
          <w:color w:val="auto"/>
          <w:sz w:val="21"/>
          <w:szCs w:val="21"/>
        </w:rPr>
        <w:t xml:space="preserve"> lontana da altre regioni (135 segnalazioni contro 143 ogni 100 mila abitanti – periodo 2008-2023).</w:t>
      </w:r>
      <w:r w:rsidR="00004141">
        <w:rPr>
          <w:rFonts w:ascii="Verdana" w:hAnsi="Verdana" w:cs="Times New Roman"/>
          <w:color w:val="auto"/>
          <w:sz w:val="21"/>
          <w:szCs w:val="21"/>
        </w:rPr>
        <w:t xml:space="preserve"> L’Emilia-Romagna risulta tra le prime sette regioni italiane per numero assoluto di reati di riciclaggio, Modena si distingue come </w:t>
      </w:r>
      <w:r w:rsidR="00975A10">
        <w:rPr>
          <w:rFonts w:ascii="Verdana" w:hAnsi="Verdana" w:cs="Times New Roman"/>
          <w:color w:val="auto"/>
          <w:sz w:val="21"/>
          <w:szCs w:val="21"/>
        </w:rPr>
        <w:t>provincia maggiormente colpita.</w:t>
      </w:r>
    </w:p>
    <w:p w14:paraId="1D9D2059" w14:textId="77777777" w:rsidR="00312D47" w:rsidRDefault="006F0E58" w:rsidP="003433D0">
      <w:pPr>
        <w:pStyle w:val="Default"/>
        <w:spacing w:after="150"/>
        <w:jc w:val="both"/>
        <w:rPr>
          <w:rFonts w:ascii="Verdana" w:hAnsi="Verdana" w:cs="Arial"/>
          <w:color w:val="0070C0"/>
          <w:sz w:val="21"/>
          <w:szCs w:val="21"/>
        </w:rPr>
      </w:pPr>
      <w:r w:rsidRPr="00EC6074">
        <w:rPr>
          <w:rFonts w:ascii="Verdana" w:hAnsi="Verdana" w:cs="Times New Roman"/>
          <w:color w:val="auto"/>
          <w:sz w:val="21"/>
          <w:szCs w:val="21"/>
        </w:rPr>
        <w:t xml:space="preserve">La versione integrale dei </w:t>
      </w:r>
      <w:r w:rsidR="005F0604" w:rsidRPr="00EC6074">
        <w:rPr>
          <w:rFonts w:ascii="Verdana" w:hAnsi="Verdana" w:cs="Times New Roman"/>
          <w:color w:val="auto"/>
          <w:sz w:val="21"/>
          <w:szCs w:val="21"/>
        </w:rPr>
        <w:t>document</w:t>
      </w:r>
      <w:r w:rsidRPr="00EC6074">
        <w:rPr>
          <w:rFonts w:ascii="Verdana" w:hAnsi="Verdana" w:cs="Times New Roman"/>
          <w:color w:val="auto"/>
          <w:sz w:val="21"/>
          <w:szCs w:val="21"/>
        </w:rPr>
        <w:t>i</w:t>
      </w:r>
      <w:r w:rsidR="00360D35" w:rsidRPr="00EC6074">
        <w:rPr>
          <w:rFonts w:ascii="Verdana" w:hAnsi="Verdana" w:cs="Times New Roman"/>
          <w:color w:val="auto"/>
          <w:sz w:val="21"/>
          <w:szCs w:val="21"/>
        </w:rPr>
        <w:t xml:space="preserve"> sopra richiamat</w:t>
      </w:r>
      <w:r w:rsidRPr="00EC6074">
        <w:rPr>
          <w:rFonts w:ascii="Verdana" w:hAnsi="Verdana" w:cs="Times New Roman"/>
          <w:color w:val="auto"/>
          <w:sz w:val="21"/>
          <w:szCs w:val="21"/>
        </w:rPr>
        <w:t xml:space="preserve">i è </w:t>
      </w:r>
      <w:r w:rsidR="007C4227" w:rsidRPr="00EC6074">
        <w:rPr>
          <w:rFonts w:ascii="Verdana" w:hAnsi="Verdana" w:cs="Times New Roman"/>
          <w:color w:val="auto"/>
          <w:sz w:val="21"/>
          <w:szCs w:val="21"/>
        </w:rPr>
        <w:t>disp</w:t>
      </w:r>
      <w:r w:rsidR="003433D0" w:rsidRPr="00EC6074">
        <w:rPr>
          <w:rFonts w:ascii="Verdana" w:hAnsi="Verdana" w:cs="Times New Roman"/>
          <w:color w:val="auto"/>
          <w:sz w:val="21"/>
          <w:szCs w:val="21"/>
        </w:rPr>
        <w:t xml:space="preserve">onibile al link </w:t>
      </w:r>
      <w:hyperlink r:id="rId11" w:history="1">
        <w:r w:rsidR="002C540B" w:rsidRPr="00EC6074">
          <w:rPr>
            <w:rStyle w:val="Collegamentoipertestuale"/>
            <w:rFonts w:ascii="Verdana" w:hAnsi="Verdana" w:cs="Arial"/>
            <w:sz w:val="21"/>
            <w:szCs w:val="21"/>
          </w:rPr>
          <w:t>https://www.montecatone.com/societa-trasparente/altri-contenuti-prevenzione-della-corruzione/piano-triennale-per-la-prevenzione-della-corruzione-e-trasparenza/</w:t>
        </w:r>
      </w:hyperlink>
      <w:r w:rsidR="002C540B" w:rsidRPr="00EC6074">
        <w:rPr>
          <w:rFonts w:ascii="Verdana" w:hAnsi="Verdana" w:cs="Arial"/>
          <w:color w:val="0070C0"/>
          <w:sz w:val="21"/>
          <w:szCs w:val="21"/>
        </w:rPr>
        <w:t>.</w:t>
      </w:r>
    </w:p>
    <w:p w14:paraId="43D8D88B" w14:textId="77777777" w:rsidR="00DC28D5" w:rsidRPr="0009315F" w:rsidRDefault="003A2434">
      <w:pPr>
        <w:pStyle w:val="Titolo1"/>
        <w:ind w:left="0" w:hanging="340"/>
        <w:rPr>
          <w:rFonts w:cs="Times New Roman"/>
        </w:rPr>
      </w:pPr>
      <w:r>
        <w:rPr>
          <w:rFonts w:cs="Times New Roman"/>
          <w:lang w:val="it-IT"/>
        </w:rPr>
        <w:t xml:space="preserve">   </w:t>
      </w:r>
      <w:bookmarkStart w:id="10" w:name="_Toc225863530"/>
      <w:r w:rsidR="00DC28D5" w:rsidRPr="0009315F">
        <w:rPr>
          <w:rFonts w:cs="Times New Roman"/>
        </w:rPr>
        <w:t>G. ANALISI DEL CONTESTO INTERNO</w:t>
      </w:r>
      <w:bookmarkEnd w:id="10"/>
      <w:r w:rsidR="00DC28D5" w:rsidRPr="0009315F">
        <w:rPr>
          <w:rFonts w:cs="Times New Roman"/>
        </w:rPr>
        <w:t xml:space="preserve"> </w:t>
      </w:r>
    </w:p>
    <w:p w14:paraId="70F81433" w14:textId="77777777" w:rsidR="00063138" w:rsidRPr="00063138" w:rsidRDefault="00063138" w:rsidP="00063138">
      <w:pPr>
        <w:spacing w:after="30" w:line="240" w:lineRule="auto"/>
        <w:jc w:val="both"/>
        <w:rPr>
          <w:rFonts w:ascii="Verdana" w:hAnsi="Verdana"/>
          <w:sz w:val="14"/>
          <w:szCs w:val="21"/>
        </w:rPr>
      </w:pPr>
    </w:p>
    <w:p w14:paraId="782BE235" w14:textId="0892BBB0" w:rsidR="00DC28D5" w:rsidRPr="009C2697" w:rsidRDefault="00DC28D5">
      <w:pPr>
        <w:spacing w:after="30" w:line="240" w:lineRule="auto"/>
        <w:jc w:val="both"/>
        <w:rPr>
          <w:rFonts w:ascii="Verdana" w:hAnsi="Verdana"/>
          <w:sz w:val="21"/>
          <w:szCs w:val="21"/>
        </w:rPr>
      </w:pPr>
      <w:r w:rsidRPr="009C2697">
        <w:rPr>
          <w:rFonts w:ascii="Verdana" w:hAnsi="Verdana"/>
          <w:sz w:val="21"/>
          <w:szCs w:val="21"/>
        </w:rPr>
        <w:t xml:space="preserve">L’analisi del contesto interno riguarda gli aspetti legati all’organizzazione e alla gestione </w:t>
      </w:r>
      <w:r w:rsidR="00106BB0" w:rsidRPr="009C2697">
        <w:rPr>
          <w:rFonts w:ascii="Verdana" w:hAnsi="Verdana"/>
          <w:sz w:val="21"/>
          <w:szCs w:val="21"/>
        </w:rPr>
        <w:t>dei</w:t>
      </w:r>
      <w:r w:rsidRPr="009C2697">
        <w:rPr>
          <w:rFonts w:ascii="Verdana" w:hAnsi="Verdana"/>
          <w:sz w:val="21"/>
          <w:szCs w:val="21"/>
        </w:rPr>
        <w:t xml:space="preserve"> processi che influenzano la sensibilità della Società al rischio corruttivo ed è volta a far emergere, da un lato, il sistema delle responsabilità, dall’altro, il livello di complessità della Società stessa</w:t>
      </w:r>
      <w:r w:rsidR="00824E72" w:rsidRPr="009C2697">
        <w:rPr>
          <w:rFonts w:ascii="Verdana" w:hAnsi="Verdana"/>
          <w:sz w:val="21"/>
          <w:szCs w:val="21"/>
        </w:rPr>
        <w:t>, identificando gli eventuali punti di forza, debolezze e potenziali ambiti di miglioramento in vista degli obiettivi da raggiungere.</w:t>
      </w:r>
    </w:p>
    <w:p w14:paraId="46920ADB" w14:textId="77777777" w:rsidR="00154A10" w:rsidRDefault="00154A10">
      <w:pPr>
        <w:spacing w:after="30" w:line="240" w:lineRule="auto"/>
        <w:jc w:val="both"/>
        <w:rPr>
          <w:rFonts w:ascii="Verdana" w:hAnsi="Verdana"/>
          <w:sz w:val="21"/>
          <w:szCs w:val="21"/>
        </w:rPr>
      </w:pPr>
    </w:p>
    <w:p w14:paraId="6BB75A48" w14:textId="77777777" w:rsidR="002668C7" w:rsidRDefault="002668C7">
      <w:pPr>
        <w:spacing w:after="30" w:line="240" w:lineRule="auto"/>
        <w:jc w:val="both"/>
        <w:rPr>
          <w:rFonts w:ascii="Verdana" w:hAnsi="Verdana"/>
          <w:sz w:val="21"/>
          <w:szCs w:val="21"/>
        </w:rPr>
      </w:pPr>
    </w:p>
    <w:p w14:paraId="5098D57B" w14:textId="77777777" w:rsidR="004D0FA2" w:rsidRPr="003A2434" w:rsidRDefault="004D0FA2">
      <w:pPr>
        <w:spacing w:after="30" w:line="240" w:lineRule="auto"/>
        <w:jc w:val="both"/>
        <w:rPr>
          <w:rFonts w:ascii="Verdana" w:hAnsi="Verdana"/>
          <w:sz w:val="21"/>
          <w:szCs w:val="21"/>
        </w:rPr>
      </w:pPr>
    </w:p>
    <w:p w14:paraId="740F7D7B" w14:textId="77777777" w:rsidR="00DC28D5" w:rsidRPr="0009315F" w:rsidRDefault="0039334F" w:rsidP="00A67EE2">
      <w:pPr>
        <w:pStyle w:val="Titolo2"/>
        <w:rPr>
          <w:rFonts w:cs="Times New Roman"/>
          <w:lang w:val="it-IT" w:eastAsia="it-IT"/>
        </w:rPr>
      </w:pPr>
      <w:bookmarkStart w:id="11" w:name="_Toc225863531"/>
      <w:r w:rsidRPr="0009315F">
        <w:rPr>
          <w:rFonts w:cs="Times New Roman"/>
          <w:lang w:val="it-IT" w:eastAsia="it-IT"/>
        </w:rPr>
        <w:t>G.1 ASSETTO SOCIETARIO E ORGANIZZATIVO, MODALITÀ DI FINANZIAMENTO</w:t>
      </w:r>
      <w:bookmarkEnd w:id="11"/>
      <w:r w:rsidRPr="0009315F">
        <w:rPr>
          <w:rFonts w:cs="Times New Roman"/>
          <w:lang w:val="it-IT" w:eastAsia="it-IT"/>
        </w:rPr>
        <w:t xml:space="preserve"> </w:t>
      </w:r>
    </w:p>
    <w:p w14:paraId="114DC54F" w14:textId="77777777" w:rsidR="0039334F" w:rsidRPr="0039334F" w:rsidRDefault="0039334F">
      <w:pPr>
        <w:spacing w:after="30" w:line="240" w:lineRule="auto"/>
        <w:jc w:val="both"/>
        <w:rPr>
          <w:rFonts w:ascii="Verdana" w:hAnsi="Verdana"/>
          <w:sz w:val="14"/>
          <w:szCs w:val="21"/>
        </w:rPr>
      </w:pPr>
    </w:p>
    <w:p w14:paraId="6F971148" w14:textId="38DFB1EA" w:rsidR="00DC28D5" w:rsidRPr="003A2434" w:rsidRDefault="00DC28D5">
      <w:pPr>
        <w:spacing w:after="30" w:line="240" w:lineRule="auto"/>
        <w:jc w:val="both"/>
        <w:rPr>
          <w:rFonts w:ascii="Verdana" w:hAnsi="Verdana"/>
          <w:sz w:val="21"/>
          <w:szCs w:val="21"/>
        </w:rPr>
      </w:pPr>
      <w:r w:rsidRPr="003A2434">
        <w:rPr>
          <w:rFonts w:ascii="Verdana" w:hAnsi="Verdana"/>
          <w:sz w:val="21"/>
          <w:szCs w:val="21"/>
        </w:rPr>
        <w:t xml:space="preserve">Come detto MRI è una società per azioni dal 1997. La regione Emilia-Romagna con questo assetto </w:t>
      </w:r>
      <w:r w:rsidR="0023210C" w:rsidRPr="009C2697">
        <w:rPr>
          <w:rFonts w:ascii="Verdana" w:hAnsi="Verdana"/>
          <w:sz w:val="21"/>
          <w:szCs w:val="21"/>
        </w:rPr>
        <w:t>giuridico</w:t>
      </w:r>
      <w:r w:rsidR="0023210C">
        <w:rPr>
          <w:rFonts w:ascii="Verdana" w:hAnsi="Verdana"/>
          <w:color w:val="EE0000"/>
          <w:sz w:val="21"/>
          <w:szCs w:val="21"/>
        </w:rPr>
        <w:t xml:space="preserve"> </w:t>
      </w:r>
      <w:r w:rsidRPr="003A2434">
        <w:rPr>
          <w:rFonts w:ascii="Verdana" w:hAnsi="Verdana"/>
          <w:sz w:val="21"/>
          <w:szCs w:val="21"/>
        </w:rPr>
        <w:t>aveva inteso dare avvio ad una sperimentazione gestionale di partnership pubblico-privato che ha permesso agilità e dinamicità gestionale. La Società ha avuto quindi una composizione societaria mista fino al 2010, anno in cui, con la fuoriuscita della compagine privata, le quote societarie sono state completamente rilevate dai soci pubblici.</w:t>
      </w:r>
    </w:p>
    <w:p w14:paraId="117EF018" w14:textId="77777777" w:rsidR="00DC28D5" w:rsidRPr="003A2434" w:rsidRDefault="00DC28D5">
      <w:pPr>
        <w:spacing w:after="30" w:line="240" w:lineRule="auto"/>
        <w:jc w:val="both"/>
        <w:rPr>
          <w:rFonts w:ascii="Verdana" w:hAnsi="Verdana"/>
          <w:sz w:val="21"/>
          <w:szCs w:val="21"/>
        </w:rPr>
      </w:pPr>
    </w:p>
    <w:p w14:paraId="4DCD82CA" w14:textId="77777777" w:rsidR="00DC28D5" w:rsidRPr="003A2434" w:rsidRDefault="00DC28D5">
      <w:pPr>
        <w:spacing w:after="30" w:line="240" w:lineRule="auto"/>
        <w:jc w:val="both"/>
        <w:rPr>
          <w:rFonts w:ascii="Verdana" w:hAnsi="Verdana"/>
          <w:sz w:val="21"/>
          <w:szCs w:val="21"/>
        </w:rPr>
      </w:pPr>
      <w:r w:rsidRPr="003A2434">
        <w:rPr>
          <w:rFonts w:ascii="Verdana" w:hAnsi="Verdana"/>
          <w:sz w:val="21"/>
          <w:szCs w:val="21"/>
        </w:rPr>
        <w:t>A seguito delle Delibere Regionali n. 283/2010 “</w:t>
      </w:r>
      <w:r w:rsidRPr="003A2434">
        <w:rPr>
          <w:rFonts w:ascii="Verdana" w:hAnsi="Verdana"/>
          <w:i/>
          <w:sz w:val="21"/>
          <w:szCs w:val="21"/>
        </w:rPr>
        <w:t xml:space="preserve">Provvedimenti inerenti </w:t>
      </w:r>
      <w:proofErr w:type="gramStart"/>
      <w:r w:rsidRPr="003A2434">
        <w:rPr>
          <w:rFonts w:ascii="Verdana" w:hAnsi="Verdana"/>
          <w:i/>
          <w:sz w:val="21"/>
          <w:szCs w:val="21"/>
        </w:rPr>
        <w:t>la</w:t>
      </w:r>
      <w:proofErr w:type="gramEnd"/>
      <w:r w:rsidRPr="003A2434">
        <w:rPr>
          <w:rFonts w:ascii="Verdana" w:hAnsi="Verdana"/>
          <w:i/>
          <w:sz w:val="21"/>
          <w:szCs w:val="21"/>
        </w:rPr>
        <w:t xml:space="preserve"> conclusione della sperimentazione gestionale Montecatone Rehabilitation Institute S.p.A.</w:t>
      </w:r>
      <w:r w:rsidRPr="003A2434">
        <w:rPr>
          <w:rFonts w:ascii="Verdana" w:hAnsi="Verdana"/>
          <w:sz w:val="21"/>
          <w:szCs w:val="21"/>
        </w:rPr>
        <w:t>” e n. 270/2011 “</w:t>
      </w:r>
      <w:r w:rsidRPr="003A2434">
        <w:rPr>
          <w:rFonts w:ascii="Verdana" w:hAnsi="Verdana"/>
          <w:i/>
          <w:sz w:val="21"/>
          <w:szCs w:val="21"/>
        </w:rPr>
        <w:t>Primo provvedimento in attuazione dell’art. 27 della L.R. 14/2010. Definizione degli elementi di garanzia sul ruolo pubblico, sull’assetto fondamentale dell’organizzazione e del funzionamento della società pubblica Montecatone Rehabilitation Institute S.p.A.</w:t>
      </w:r>
      <w:r w:rsidRPr="003A2434">
        <w:rPr>
          <w:rFonts w:ascii="Verdana" w:hAnsi="Verdana"/>
          <w:sz w:val="21"/>
          <w:szCs w:val="21"/>
        </w:rPr>
        <w:t xml:space="preserve">” e delle normative più recenti sulle società partecipate pubbliche e del sempre maggiore peso assunto dalla parte pubblica nel controllo della società, si è reso necessario un progressivo adeguamento del </w:t>
      </w:r>
      <w:r w:rsidRPr="003A2434">
        <w:rPr>
          <w:rFonts w:ascii="Verdana" w:hAnsi="Verdana"/>
          <w:i/>
          <w:sz w:val="21"/>
          <w:szCs w:val="21"/>
        </w:rPr>
        <w:t>corpus</w:t>
      </w:r>
      <w:r w:rsidRPr="003A2434">
        <w:rPr>
          <w:rFonts w:ascii="Verdana" w:hAnsi="Verdana"/>
          <w:sz w:val="21"/>
          <w:szCs w:val="21"/>
        </w:rPr>
        <w:t xml:space="preserve"> regolamentare e procedurale di MRI alla disciplina pubblica.</w:t>
      </w:r>
    </w:p>
    <w:p w14:paraId="601F5074" w14:textId="77777777" w:rsidR="00DC28D5" w:rsidRPr="003A2434" w:rsidRDefault="00DC28D5">
      <w:pPr>
        <w:spacing w:after="30" w:line="240" w:lineRule="auto"/>
        <w:jc w:val="both"/>
        <w:rPr>
          <w:rFonts w:ascii="Verdana" w:eastAsia="MS Mincho" w:hAnsi="Verdana"/>
          <w:sz w:val="21"/>
          <w:szCs w:val="21"/>
          <w:lang w:eastAsia="ja-JP"/>
        </w:rPr>
      </w:pPr>
    </w:p>
    <w:p w14:paraId="2C5E6083" w14:textId="1E4B11BF" w:rsidR="00DC28D5" w:rsidRPr="00A4036C" w:rsidRDefault="00DC28D5">
      <w:pPr>
        <w:spacing w:after="30" w:line="240" w:lineRule="auto"/>
        <w:jc w:val="both"/>
        <w:rPr>
          <w:rFonts w:ascii="Verdana" w:hAnsi="Verdana"/>
          <w:sz w:val="21"/>
          <w:szCs w:val="21"/>
        </w:rPr>
      </w:pPr>
      <w:r w:rsidRPr="00887DA7">
        <w:rPr>
          <w:rFonts w:ascii="Verdana" w:eastAsia="MS Mincho" w:hAnsi="Verdana"/>
          <w:sz w:val="21"/>
          <w:szCs w:val="21"/>
          <w:lang w:eastAsia="ja-JP"/>
        </w:rPr>
        <w:t>Lo statuto societario vigente è conforme al D.Lgs. 175/2016 e successivo D.Lgs. 100/2017 “</w:t>
      </w:r>
      <w:r w:rsidRPr="00887DA7">
        <w:rPr>
          <w:rFonts w:ascii="Verdana" w:eastAsia="MS Mincho" w:hAnsi="Verdana"/>
          <w:i/>
          <w:sz w:val="21"/>
          <w:szCs w:val="21"/>
          <w:lang w:eastAsia="ja-JP"/>
        </w:rPr>
        <w:t>Disposizioni integrative e correttive al decreto legislativo 19 agosto 2016, n. 175, recante testo unico in materia di società a partecipazione pubblica”,</w:t>
      </w:r>
      <w:r w:rsidRPr="00887DA7">
        <w:rPr>
          <w:rFonts w:ascii="Verdana" w:eastAsia="MS Mincho" w:hAnsi="Verdana"/>
          <w:sz w:val="21"/>
          <w:szCs w:val="21"/>
          <w:lang w:eastAsia="ja-JP"/>
        </w:rPr>
        <w:t xml:space="preserve"> e prevede che l’organo amministrativo possa essere costituito da un amministratore unico o, qualora ricorrano “</w:t>
      </w:r>
      <w:r w:rsidRPr="00887DA7">
        <w:rPr>
          <w:rFonts w:ascii="Verdana" w:eastAsia="MS Mincho" w:hAnsi="Verdana"/>
          <w:i/>
          <w:sz w:val="21"/>
          <w:szCs w:val="21"/>
          <w:lang w:eastAsia="ja-JP"/>
        </w:rPr>
        <w:t>specifiche ragioni di adeguatezza organizzativa e tenendo conto delle esigenze di contenimento dei costi, da un consiglio di amministrazione composto da tre o cinque membri</w:t>
      </w:r>
      <w:r w:rsidRPr="00887DA7">
        <w:rPr>
          <w:rFonts w:ascii="Verdana" w:eastAsia="MS Mincho" w:hAnsi="Verdana"/>
          <w:sz w:val="21"/>
          <w:szCs w:val="21"/>
          <w:lang w:eastAsia="ja-JP"/>
        </w:rPr>
        <w:t>”</w:t>
      </w:r>
      <w:r w:rsidR="00053CB9">
        <w:rPr>
          <w:rFonts w:ascii="Verdana" w:eastAsia="MS Mincho" w:hAnsi="Verdana"/>
          <w:sz w:val="21"/>
          <w:szCs w:val="21"/>
          <w:lang w:eastAsia="ja-JP"/>
        </w:rPr>
        <w:t xml:space="preserve">. </w:t>
      </w:r>
      <w:r w:rsidRPr="00887DA7">
        <w:rPr>
          <w:rFonts w:ascii="Verdana" w:eastAsia="MS Mincho" w:hAnsi="Verdana"/>
          <w:sz w:val="21"/>
          <w:szCs w:val="21"/>
          <w:lang w:eastAsia="ja-JP"/>
        </w:rPr>
        <w:t xml:space="preserve"> </w:t>
      </w:r>
      <w:r w:rsidR="00053CB9">
        <w:rPr>
          <w:rFonts w:ascii="Verdana" w:eastAsia="MS Mincho" w:hAnsi="Verdana"/>
          <w:sz w:val="21"/>
          <w:szCs w:val="21"/>
          <w:lang w:eastAsia="ja-JP"/>
        </w:rPr>
        <w:t>I</w:t>
      </w:r>
      <w:r w:rsidRPr="00887DA7">
        <w:rPr>
          <w:rFonts w:ascii="Verdana" w:eastAsia="MS Mincho" w:hAnsi="Verdana"/>
          <w:sz w:val="21"/>
          <w:szCs w:val="21"/>
          <w:lang w:eastAsia="ja-JP"/>
        </w:rPr>
        <w:t>noltre, coerentemente ai principi e agli elementi di garanzia sul ruolo pubblico della società MRI dettati nella delibera regionale n. 270/2011, lo statuto prevede anche un sistema di governance in cui, nell’ipotesi che l’organo amministrativo sia collegiale, le funzioni di indirizzo e controllo siano assunte dal Consiglio di Amministrazione, mentre quelle di gestione e di organizzazione dei servizi vengano affidate ad un Direttore Generale.</w:t>
      </w:r>
      <w:r w:rsidR="00A3008A">
        <w:rPr>
          <w:rFonts w:ascii="Verdana" w:eastAsia="MS Mincho" w:hAnsi="Verdana"/>
          <w:sz w:val="21"/>
          <w:szCs w:val="21"/>
          <w:lang w:eastAsia="ja-JP"/>
        </w:rPr>
        <w:t xml:space="preserve"> </w:t>
      </w:r>
      <w:r w:rsidR="00A3008A" w:rsidRPr="00A4036C">
        <w:rPr>
          <w:rFonts w:ascii="Verdana" w:eastAsia="MS Mincho" w:hAnsi="Verdana"/>
          <w:sz w:val="21"/>
          <w:szCs w:val="21"/>
          <w:lang w:eastAsia="ja-JP"/>
        </w:rPr>
        <w:t>Come anticipato</w:t>
      </w:r>
      <w:r w:rsidR="008E2E66" w:rsidRPr="00A4036C">
        <w:rPr>
          <w:rFonts w:ascii="Verdana" w:eastAsia="MS Mincho" w:hAnsi="Verdana"/>
          <w:sz w:val="21"/>
          <w:szCs w:val="21"/>
          <w:lang w:eastAsia="ja-JP"/>
        </w:rPr>
        <w:t xml:space="preserve"> nel capitolo A. “Informazioni di carattere generale”</w:t>
      </w:r>
      <w:r w:rsidR="00A3008A" w:rsidRPr="00A4036C">
        <w:rPr>
          <w:rFonts w:ascii="Verdana" w:eastAsia="MS Mincho" w:hAnsi="Verdana"/>
          <w:sz w:val="21"/>
          <w:szCs w:val="21"/>
          <w:lang w:eastAsia="ja-JP"/>
        </w:rPr>
        <w:t xml:space="preserve">, la modifica approvata dall’Assemblea dei </w:t>
      </w:r>
      <w:r w:rsidR="00A3008A" w:rsidRPr="002B7785">
        <w:rPr>
          <w:rFonts w:ascii="Verdana" w:eastAsia="MS Mincho" w:hAnsi="Verdana"/>
          <w:sz w:val="21"/>
          <w:szCs w:val="21"/>
          <w:lang w:eastAsia="ja-JP"/>
        </w:rPr>
        <w:t>soci a</w:t>
      </w:r>
      <w:r w:rsidR="003669AD" w:rsidRPr="002B7785">
        <w:rPr>
          <w:rFonts w:ascii="Verdana" w:eastAsia="MS Mincho" w:hAnsi="Verdana"/>
          <w:sz w:val="21"/>
          <w:szCs w:val="21"/>
          <w:lang w:eastAsia="ja-JP"/>
        </w:rPr>
        <w:t xml:space="preserve"> </w:t>
      </w:r>
      <w:r w:rsidR="0056155F" w:rsidRPr="002B7785">
        <w:rPr>
          <w:rFonts w:ascii="Verdana" w:eastAsia="MS Mincho" w:hAnsi="Verdana"/>
          <w:sz w:val="21"/>
          <w:szCs w:val="21"/>
          <w:lang w:eastAsia="ja-JP"/>
        </w:rPr>
        <w:t>novembre</w:t>
      </w:r>
      <w:r w:rsidR="003669AD" w:rsidRPr="002B7785">
        <w:rPr>
          <w:rFonts w:ascii="Verdana" w:eastAsia="MS Mincho" w:hAnsi="Verdana"/>
          <w:sz w:val="21"/>
          <w:szCs w:val="21"/>
          <w:lang w:eastAsia="ja-JP"/>
        </w:rPr>
        <w:t xml:space="preserve"> </w:t>
      </w:r>
      <w:r w:rsidR="00A3008A" w:rsidRPr="002B7785">
        <w:rPr>
          <w:rFonts w:ascii="Verdana" w:eastAsia="MS Mincho" w:hAnsi="Verdana"/>
          <w:sz w:val="21"/>
          <w:szCs w:val="21"/>
          <w:lang w:eastAsia="ja-JP"/>
        </w:rPr>
        <w:t>202</w:t>
      </w:r>
      <w:r w:rsidR="003669AD" w:rsidRPr="002B7785">
        <w:rPr>
          <w:rFonts w:ascii="Verdana" w:eastAsia="MS Mincho" w:hAnsi="Verdana"/>
          <w:sz w:val="21"/>
          <w:szCs w:val="21"/>
          <w:lang w:eastAsia="ja-JP"/>
        </w:rPr>
        <w:t>5</w:t>
      </w:r>
      <w:r w:rsidR="00A3008A" w:rsidRPr="002B7785">
        <w:rPr>
          <w:rFonts w:ascii="Verdana" w:eastAsia="MS Mincho" w:hAnsi="Verdana"/>
          <w:sz w:val="21"/>
          <w:szCs w:val="21"/>
          <w:lang w:eastAsia="ja-JP"/>
        </w:rPr>
        <w:t xml:space="preserve"> </w:t>
      </w:r>
      <w:r w:rsidR="003669AD" w:rsidRPr="002B7785">
        <w:rPr>
          <w:rFonts w:ascii="Verdana" w:eastAsia="MS Mincho" w:hAnsi="Verdana"/>
          <w:sz w:val="21"/>
          <w:szCs w:val="21"/>
          <w:lang w:eastAsia="ja-JP"/>
        </w:rPr>
        <w:t>ha confermato</w:t>
      </w:r>
      <w:r w:rsidR="00A3008A" w:rsidRPr="00A4036C">
        <w:rPr>
          <w:rFonts w:ascii="Verdana" w:eastAsia="MS Mincho" w:hAnsi="Verdana"/>
          <w:sz w:val="21"/>
          <w:szCs w:val="21"/>
          <w:lang w:eastAsia="ja-JP"/>
        </w:rPr>
        <w:t xml:space="preserve"> la figura del Commissario Straordinario senza modificare l’assetto </w:t>
      </w:r>
      <w:r w:rsidR="008E2E66" w:rsidRPr="00A4036C">
        <w:rPr>
          <w:rFonts w:ascii="Verdana" w:eastAsia="MS Mincho" w:hAnsi="Verdana"/>
          <w:sz w:val="21"/>
          <w:szCs w:val="21"/>
          <w:lang w:eastAsia="ja-JP"/>
        </w:rPr>
        <w:t xml:space="preserve">poc’anzi </w:t>
      </w:r>
      <w:r w:rsidR="00A3008A" w:rsidRPr="00A4036C">
        <w:rPr>
          <w:rFonts w:ascii="Verdana" w:eastAsia="MS Mincho" w:hAnsi="Verdana"/>
          <w:sz w:val="21"/>
          <w:szCs w:val="21"/>
          <w:lang w:eastAsia="ja-JP"/>
        </w:rPr>
        <w:t>illustrato.</w:t>
      </w:r>
    </w:p>
    <w:p w14:paraId="3BA94A6C" w14:textId="77777777" w:rsidR="00BF35EA" w:rsidRPr="00563B17" w:rsidRDefault="00BF35EA">
      <w:pPr>
        <w:spacing w:after="30" w:line="240" w:lineRule="auto"/>
        <w:jc w:val="both"/>
        <w:rPr>
          <w:rFonts w:ascii="Verdana" w:eastAsia="MS Mincho" w:hAnsi="Verdana"/>
          <w:sz w:val="21"/>
          <w:szCs w:val="21"/>
          <w:lang w:eastAsia="ja-JP"/>
        </w:rPr>
      </w:pPr>
    </w:p>
    <w:p w14:paraId="6898D9FD" w14:textId="77777777" w:rsidR="00DC28D5" w:rsidRPr="00053CB9" w:rsidRDefault="00DC28D5">
      <w:pPr>
        <w:spacing w:after="30" w:line="240" w:lineRule="auto"/>
        <w:jc w:val="both"/>
        <w:rPr>
          <w:rFonts w:ascii="Verdana" w:hAnsi="Verdana"/>
          <w:color w:val="FF0000"/>
          <w:sz w:val="21"/>
          <w:szCs w:val="21"/>
        </w:rPr>
      </w:pPr>
      <w:r w:rsidRPr="00312D47">
        <w:rPr>
          <w:rFonts w:ascii="Verdana" w:hAnsi="Verdana"/>
          <w:sz w:val="21"/>
          <w:szCs w:val="21"/>
        </w:rPr>
        <w:t>La Società è per massima parte (oltre 95%) remunerata sulla base delle prestazioni erogate secondo le tariffe fissate a livello nazionale e/o regionale</w:t>
      </w:r>
      <w:r w:rsidR="00BF35EA" w:rsidRPr="00312D47">
        <w:rPr>
          <w:rFonts w:ascii="Verdana" w:hAnsi="Verdana"/>
          <w:sz w:val="21"/>
          <w:szCs w:val="21"/>
        </w:rPr>
        <w:t xml:space="preserve"> adeguate con Delibera</w:t>
      </w:r>
      <w:r w:rsidR="000E528B" w:rsidRPr="00312D47">
        <w:rPr>
          <w:rFonts w:ascii="Verdana" w:hAnsi="Verdana"/>
          <w:sz w:val="21"/>
          <w:szCs w:val="21"/>
        </w:rPr>
        <w:t xml:space="preserve"> della Regione Emilia-Romagna n. 1875 del 14/12/2020</w:t>
      </w:r>
      <w:r w:rsidR="00DE5D22" w:rsidRPr="00312D47">
        <w:rPr>
          <w:rFonts w:ascii="Verdana" w:hAnsi="Verdana"/>
          <w:sz w:val="21"/>
          <w:szCs w:val="21"/>
        </w:rPr>
        <w:t xml:space="preserve"> con effetto dal </w:t>
      </w:r>
      <w:proofErr w:type="gramStart"/>
      <w:r w:rsidR="00DE5D22" w:rsidRPr="00312D47">
        <w:rPr>
          <w:rFonts w:ascii="Verdana" w:hAnsi="Verdana"/>
          <w:sz w:val="21"/>
          <w:szCs w:val="21"/>
        </w:rPr>
        <w:t>1</w:t>
      </w:r>
      <w:r w:rsidR="008E2E66" w:rsidRPr="00312D47">
        <w:rPr>
          <w:rFonts w:ascii="Verdana" w:hAnsi="Verdana"/>
          <w:sz w:val="21"/>
          <w:szCs w:val="21"/>
        </w:rPr>
        <w:t xml:space="preserve"> </w:t>
      </w:r>
      <w:r w:rsidR="00DE5D22" w:rsidRPr="00312D47">
        <w:rPr>
          <w:rFonts w:ascii="Verdana" w:hAnsi="Verdana"/>
          <w:sz w:val="21"/>
          <w:szCs w:val="21"/>
        </w:rPr>
        <w:t>gennaio</w:t>
      </w:r>
      <w:proofErr w:type="gramEnd"/>
      <w:r w:rsidR="00DE5D22" w:rsidRPr="00312D47">
        <w:rPr>
          <w:rFonts w:ascii="Verdana" w:hAnsi="Verdana"/>
          <w:sz w:val="21"/>
          <w:szCs w:val="21"/>
        </w:rPr>
        <w:t xml:space="preserve"> 2020</w:t>
      </w:r>
      <w:r w:rsidRPr="00312D47">
        <w:rPr>
          <w:rFonts w:ascii="Verdana" w:hAnsi="Verdana"/>
          <w:sz w:val="21"/>
          <w:szCs w:val="21"/>
        </w:rPr>
        <w:t>. Questo fa sì che la sostenibilità economica della Società sia in toto dipendente dai volumi prestazionali erogati.</w:t>
      </w:r>
      <w:r w:rsidR="00053CB9">
        <w:rPr>
          <w:rFonts w:ascii="Verdana" w:hAnsi="Verdana"/>
          <w:sz w:val="21"/>
          <w:szCs w:val="21"/>
        </w:rPr>
        <w:t xml:space="preserve"> </w:t>
      </w:r>
    </w:p>
    <w:p w14:paraId="4AEFA70F" w14:textId="77777777" w:rsidR="00660933" w:rsidRPr="00A5578C" w:rsidRDefault="00DC28D5">
      <w:pPr>
        <w:spacing w:after="30" w:line="240" w:lineRule="auto"/>
        <w:jc w:val="both"/>
        <w:rPr>
          <w:rFonts w:ascii="Verdana" w:eastAsia="Times New Roman" w:hAnsi="Verdana"/>
          <w:color w:val="FF0000"/>
          <w:sz w:val="21"/>
          <w:szCs w:val="21"/>
        </w:rPr>
      </w:pPr>
      <w:r w:rsidRPr="00A4036C">
        <w:rPr>
          <w:rFonts w:ascii="Verdana" w:eastAsia="Times New Roman" w:hAnsi="Verdana"/>
          <w:sz w:val="21"/>
          <w:szCs w:val="21"/>
        </w:rPr>
        <w:t xml:space="preserve">Il tasso di occupazione dei posti letto accreditati </w:t>
      </w:r>
      <w:r w:rsidR="00234AB3" w:rsidRPr="00A4036C">
        <w:rPr>
          <w:rFonts w:ascii="Verdana" w:eastAsia="Times New Roman" w:hAnsi="Verdana"/>
          <w:sz w:val="21"/>
          <w:szCs w:val="21"/>
        </w:rPr>
        <w:t>fino al 2019</w:t>
      </w:r>
      <w:r w:rsidRPr="00A4036C">
        <w:rPr>
          <w:rFonts w:ascii="Verdana" w:eastAsia="Times New Roman" w:hAnsi="Verdana"/>
          <w:sz w:val="21"/>
          <w:szCs w:val="21"/>
        </w:rPr>
        <w:t xml:space="preserve"> si è sempre attestato sul 100%; </w:t>
      </w:r>
      <w:r w:rsidR="00C57446" w:rsidRPr="00A4036C">
        <w:rPr>
          <w:rFonts w:ascii="Verdana" w:eastAsia="Times New Roman" w:hAnsi="Verdana"/>
          <w:sz w:val="21"/>
          <w:szCs w:val="21"/>
        </w:rPr>
        <w:t>d</w:t>
      </w:r>
      <w:r w:rsidR="005F0604" w:rsidRPr="00A4036C">
        <w:rPr>
          <w:rFonts w:ascii="Verdana" w:eastAsia="Times New Roman" w:hAnsi="Verdana"/>
          <w:sz w:val="21"/>
          <w:szCs w:val="21"/>
        </w:rPr>
        <w:t>opo</w:t>
      </w:r>
      <w:r w:rsidR="008E2E66" w:rsidRPr="00A4036C">
        <w:rPr>
          <w:rFonts w:ascii="Verdana" w:eastAsia="Times New Roman" w:hAnsi="Verdana"/>
          <w:sz w:val="21"/>
          <w:szCs w:val="21"/>
        </w:rPr>
        <w:t xml:space="preserve"> la pandemia sanitaria da </w:t>
      </w:r>
      <w:r w:rsidR="005F0604" w:rsidRPr="00A4036C">
        <w:rPr>
          <w:rFonts w:ascii="Verdana" w:eastAsia="Times New Roman" w:hAnsi="Verdana"/>
          <w:sz w:val="21"/>
          <w:szCs w:val="21"/>
        </w:rPr>
        <w:t>Covid</w:t>
      </w:r>
      <w:r w:rsidR="008E2E66" w:rsidRPr="00A4036C">
        <w:rPr>
          <w:rFonts w:ascii="Verdana" w:eastAsia="Times New Roman" w:hAnsi="Verdana"/>
          <w:sz w:val="21"/>
          <w:szCs w:val="21"/>
        </w:rPr>
        <w:t>-19</w:t>
      </w:r>
      <w:r w:rsidR="005F0604" w:rsidRPr="00A4036C">
        <w:rPr>
          <w:rFonts w:ascii="Verdana" w:eastAsia="Times New Roman" w:hAnsi="Verdana"/>
          <w:sz w:val="21"/>
          <w:szCs w:val="21"/>
        </w:rPr>
        <w:t>, l’anno 2023 è</w:t>
      </w:r>
      <w:r w:rsidR="00A5578C">
        <w:rPr>
          <w:rFonts w:ascii="Verdana" w:eastAsia="Times New Roman" w:hAnsi="Verdana"/>
          <w:sz w:val="21"/>
          <w:szCs w:val="21"/>
        </w:rPr>
        <w:t xml:space="preserve"> stato</w:t>
      </w:r>
      <w:r w:rsidR="005F0604" w:rsidRPr="00A4036C">
        <w:rPr>
          <w:rFonts w:ascii="Verdana" w:eastAsia="Times New Roman" w:hAnsi="Verdana"/>
          <w:sz w:val="21"/>
          <w:szCs w:val="21"/>
        </w:rPr>
        <w:t xml:space="preserve"> il primo in cui si è visto risalire </w:t>
      </w:r>
      <w:r w:rsidRPr="00A4036C">
        <w:rPr>
          <w:rFonts w:ascii="Verdana" w:eastAsia="Times New Roman" w:hAnsi="Verdana"/>
          <w:sz w:val="21"/>
          <w:szCs w:val="21"/>
        </w:rPr>
        <w:t>il tasso</w:t>
      </w:r>
      <w:r w:rsidR="000E528B" w:rsidRPr="00A4036C">
        <w:rPr>
          <w:rFonts w:ascii="Verdana" w:eastAsia="Times New Roman" w:hAnsi="Verdana"/>
          <w:sz w:val="21"/>
          <w:szCs w:val="21"/>
        </w:rPr>
        <w:t xml:space="preserve"> medio </w:t>
      </w:r>
      <w:r w:rsidRPr="00A4036C">
        <w:rPr>
          <w:rFonts w:ascii="Verdana" w:eastAsia="Times New Roman" w:hAnsi="Verdana"/>
          <w:sz w:val="21"/>
          <w:szCs w:val="21"/>
        </w:rPr>
        <w:t xml:space="preserve">di occupazione dei posti letto annuale </w:t>
      </w:r>
      <w:r w:rsidR="00E339A7" w:rsidRPr="00A4036C">
        <w:rPr>
          <w:rFonts w:ascii="Verdana" w:eastAsia="Times New Roman" w:hAnsi="Verdana"/>
          <w:sz w:val="21"/>
          <w:szCs w:val="21"/>
        </w:rPr>
        <w:t>fino a</w:t>
      </w:r>
      <w:r w:rsidR="008E2E66" w:rsidRPr="00A4036C">
        <w:rPr>
          <w:rFonts w:ascii="Verdana" w:eastAsia="Times New Roman" w:hAnsi="Verdana"/>
          <w:sz w:val="21"/>
          <w:szCs w:val="21"/>
        </w:rPr>
        <w:t xml:space="preserve"> raggiungere quasi il</w:t>
      </w:r>
      <w:r w:rsidR="00E339A7" w:rsidRPr="00A4036C">
        <w:rPr>
          <w:rFonts w:ascii="Verdana" w:eastAsia="Times New Roman" w:hAnsi="Verdana"/>
          <w:sz w:val="21"/>
          <w:szCs w:val="21"/>
        </w:rPr>
        <w:t xml:space="preserve"> 100% circa</w:t>
      </w:r>
      <w:r w:rsidR="002F1C56" w:rsidRPr="0073047B">
        <w:rPr>
          <w:rFonts w:ascii="Verdana" w:eastAsia="Times New Roman" w:hAnsi="Verdana"/>
          <w:sz w:val="21"/>
          <w:szCs w:val="21"/>
        </w:rPr>
        <w:t>; nell</w:t>
      </w:r>
      <w:r w:rsidR="00BB6EE1" w:rsidRPr="0073047B">
        <w:rPr>
          <w:rFonts w:ascii="Verdana" w:eastAsia="Times New Roman" w:hAnsi="Verdana"/>
          <w:sz w:val="21"/>
          <w:szCs w:val="21"/>
        </w:rPr>
        <w:t>’anno 202</w:t>
      </w:r>
      <w:r w:rsidR="003669AD">
        <w:rPr>
          <w:rFonts w:ascii="Verdana" w:eastAsia="Times New Roman" w:hAnsi="Verdana"/>
          <w:sz w:val="21"/>
          <w:szCs w:val="21"/>
        </w:rPr>
        <w:t>5</w:t>
      </w:r>
      <w:r w:rsidR="00A5578C" w:rsidRPr="0073047B">
        <w:rPr>
          <w:rFonts w:ascii="Verdana" w:eastAsia="Times New Roman" w:hAnsi="Verdana"/>
          <w:sz w:val="21"/>
          <w:szCs w:val="21"/>
        </w:rPr>
        <w:t xml:space="preserve"> l’indicatore del 100% è stato pienamente raggiunto.</w:t>
      </w:r>
    </w:p>
    <w:p w14:paraId="66E8D6B8" w14:textId="77777777" w:rsidR="00BB6EE1" w:rsidRDefault="00BB6EE1">
      <w:pPr>
        <w:spacing w:after="30" w:line="240" w:lineRule="auto"/>
        <w:jc w:val="both"/>
        <w:rPr>
          <w:rFonts w:ascii="Verdana" w:eastAsia="Times New Roman" w:hAnsi="Verdana"/>
          <w:sz w:val="21"/>
          <w:szCs w:val="21"/>
        </w:rPr>
      </w:pPr>
    </w:p>
    <w:p w14:paraId="21F590C9" w14:textId="77777777" w:rsidR="004D0FA2" w:rsidRPr="003A2434" w:rsidRDefault="004D0FA2">
      <w:pPr>
        <w:spacing w:after="30" w:line="240" w:lineRule="auto"/>
        <w:jc w:val="both"/>
        <w:rPr>
          <w:rFonts w:ascii="Verdana" w:eastAsia="Times New Roman" w:hAnsi="Verdana"/>
          <w:sz w:val="21"/>
          <w:szCs w:val="21"/>
        </w:rPr>
      </w:pPr>
    </w:p>
    <w:p w14:paraId="0D823CBE" w14:textId="77777777" w:rsidR="00D82DC3" w:rsidRDefault="00D82DC3" w:rsidP="0039334F">
      <w:pPr>
        <w:pStyle w:val="Nessunaspaziatura"/>
        <w:rPr>
          <w:lang w:eastAsia="it-IT"/>
        </w:rPr>
      </w:pPr>
    </w:p>
    <w:p w14:paraId="58610E14" w14:textId="77777777" w:rsidR="00DC28D5" w:rsidRPr="0009315F" w:rsidRDefault="0039334F" w:rsidP="00D82DC3">
      <w:pPr>
        <w:pStyle w:val="Titolo2"/>
        <w:rPr>
          <w:lang w:eastAsia="it-IT"/>
        </w:rPr>
      </w:pPr>
      <w:bookmarkStart w:id="12" w:name="_Toc225863532"/>
      <w:r w:rsidRPr="0009315F">
        <w:rPr>
          <w:lang w:eastAsia="it-IT"/>
        </w:rPr>
        <w:t>G.2 RAPPORTI CON IL TERRITORIO E GLI STAKEHOLDER</w:t>
      </w:r>
      <w:bookmarkEnd w:id="12"/>
      <w:r w:rsidRPr="0009315F">
        <w:rPr>
          <w:lang w:eastAsia="it-IT"/>
        </w:rPr>
        <w:t xml:space="preserve"> </w:t>
      </w:r>
    </w:p>
    <w:p w14:paraId="1E65F2EE" w14:textId="77777777" w:rsidR="0039334F" w:rsidRPr="0039334F" w:rsidRDefault="0039334F" w:rsidP="0039334F">
      <w:pPr>
        <w:pStyle w:val="Nessunaspaziatura"/>
        <w:rPr>
          <w:sz w:val="16"/>
        </w:rPr>
      </w:pPr>
    </w:p>
    <w:p w14:paraId="482549E2" w14:textId="77777777" w:rsidR="00D164EE" w:rsidRDefault="00DC28D5">
      <w:pPr>
        <w:spacing w:after="30" w:line="240" w:lineRule="auto"/>
        <w:jc w:val="both"/>
        <w:rPr>
          <w:rFonts w:ascii="Verdana" w:hAnsi="Verdana"/>
          <w:sz w:val="21"/>
          <w:szCs w:val="21"/>
        </w:rPr>
      </w:pPr>
      <w:r w:rsidRPr="00234AB3">
        <w:rPr>
          <w:rFonts w:ascii="Verdana" w:hAnsi="Verdana"/>
          <w:sz w:val="21"/>
          <w:szCs w:val="21"/>
        </w:rPr>
        <w:t xml:space="preserve">La natura dell’attività comporta una forte e continuativa presenza di diversi soggetti del </w:t>
      </w:r>
      <w:r w:rsidR="00123A01" w:rsidRPr="00234AB3">
        <w:rPr>
          <w:rFonts w:ascii="Verdana" w:hAnsi="Verdana"/>
          <w:sz w:val="21"/>
          <w:szCs w:val="21"/>
        </w:rPr>
        <w:t>T</w:t>
      </w:r>
      <w:r w:rsidRPr="00234AB3">
        <w:rPr>
          <w:rFonts w:ascii="Verdana" w:hAnsi="Verdana"/>
          <w:sz w:val="21"/>
          <w:szCs w:val="21"/>
        </w:rPr>
        <w:t xml:space="preserve">erzo </w:t>
      </w:r>
      <w:r w:rsidR="00123A01" w:rsidRPr="00234AB3">
        <w:rPr>
          <w:rFonts w:ascii="Verdana" w:hAnsi="Verdana"/>
          <w:sz w:val="21"/>
          <w:szCs w:val="21"/>
        </w:rPr>
        <w:t>S</w:t>
      </w:r>
      <w:r w:rsidRPr="00234AB3">
        <w:rPr>
          <w:rFonts w:ascii="Verdana" w:hAnsi="Verdana"/>
          <w:sz w:val="21"/>
          <w:szCs w:val="21"/>
        </w:rPr>
        <w:t>ettore (Organizzazioni di Volontariato, Associazioni di Promozione Sociale, Fondazioni, Cooperative Sociali, Associazioni Sportivo Dilettantistiche</w:t>
      </w:r>
      <w:r w:rsidR="00301E4A">
        <w:rPr>
          <w:rFonts w:ascii="Verdana" w:hAnsi="Verdana"/>
          <w:sz w:val="21"/>
          <w:szCs w:val="21"/>
        </w:rPr>
        <w:t>, ecc.)</w:t>
      </w:r>
      <w:r w:rsidRPr="00234AB3">
        <w:rPr>
          <w:rFonts w:ascii="Verdana" w:hAnsi="Verdana"/>
          <w:sz w:val="21"/>
          <w:szCs w:val="21"/>
        </w:rPr>
        <w:t xml:space="preserve"> come partner per il completamento del progetto riabilitativo. </w:t>
      </w:r>
      <w:r w:rsidR="00D164EE">
        <w:rPr>
          <w:rFonts w:ascii="Verdana" w:hAnsi="Verdana"/>
          <w:sz w:val="21"/>
          <w:szCs w:val="21"/>
        </w:rPr>
        <w:t xml:space="preserve"> </w:t>
      </w:r>
      <w:r w:rsidRPr="00234AB3">
        <w:rPr>
          <w:rFonts w:ascii="Verdana" w:hAnsi="Verdana"/>
          <w:sz w:val="21"/>
          <w:szCs w:val="21"/>
        </w:rPr>
        <w:t xml:space="preserve">Il rapporto con il volontariato e con il </w:t>
      </w:r>
      <w:r w:rsidR="00123A01" w:rsidRPr="00234AB3">
        <w:rPr>
          <w:rFonts w:ascii="Verdana" w:hAnsi="Verdana"/>
          <w:sz w:val="21"/>
          <w:szCs w:val="21"/>
        </w:rPr>
        <w:t>T</w:t>
      </w:r>
      <w:r w:rsidRPr="00234AB3">
        <w:rPr>
          <w:rFonts w:ascii="Verdana" w:hAnsi="Verdana"/>
          <w:sz w:val="21"/>
          <w:szCs w:val="21"/>
        </w:rPr>
        <w:t xml:space="preserve">erzo </w:t>
      </w:r>
      <w:r w:rsidR="00123A01" w:rsidRPr="00234AB3">
        <w:rPr>
          <w:rFonts w:ascii="Verdana" w:hAnsi="Verdana"/>
          <w:sz w:val="21"/>
          <w:szCs w:val="21"/>
        </w:rPr>
        <w:t>S</w:t>
      </w:r>
      <w:r w:rsidRPr="00234AB3">
        <w:rPr>
          <w:rFonts w:ascii="Verdana" w:hAnsi="Verdana"/>
          <w:sz w:val="21"/>
          <w:szCs w:val="21"/>
        </w:rPr>
        <w:t>ettore è strategico per garantire, durante il ricovero a Montecatone, momenti di socializzazione e tempo libero utili a riprendere fin da subito una vita di relazioni sociali in continuità con quella che precedeva la lesione</w:t>
      </w:r>
      <w:r w:rsidRPr="00A4036C">
        <w:rPr>
          <w:rFonts w:ascii="Verdana" w:hAnsi="Verdana"/>
          <w:sz w:val="21"/>
          <w:szCs w:val="21"/>
        </w:rPr>
        <w:t xml:space="preserve">. </w:t>
      </w:r>
      <w:r w:rsidR="00C37203" w:rsidRPr="00A4036C">
        <w:rPr>
          <w:rFonts w:ascii="Verdana" w:hAnsi="Verdana"/>
          <w:sz w:val="21"/>
          <w:szCs w:val="21"/>
        </w:rPr>
        <w:t>A tal fine, è stata rinnovata la Convenzione con la Fondazione Montecatone Onlus che si occupa di coordinare le attività delle diverse realtà del volontariato.</w:t>
      </w:r>
    </w:p>
    <w:p w14:paraId="5990507F" w14:textId="77777777" w:rsidR="00DC28D5" w:rsidRDefault="00316C1F">
      <w:pPr>
        <w:spacing w:after="30" w:line="240" w:lineRule="auto"/>
        <w:jc w:val="both"/>
        <w:rPr>
          <w:rFonts w:ascii="Verdana" w:hAnsi="Verdana"/>
          <w:sz w:val="21"/>
          <w:szCs w:val="21"/>
        </w:rPr>
      </w:pPr>
      <w:r w:rsidRPr="00A4036C">
        <w:rPr>
          <w:rFonts w:ascii="Verdana" w:hAnsi="Verdana"/>
          <w:sz w:val="21"/>
          <w:szCs w:val="21"/>
        </w:rPr>
        <w:t>É</w:t>
      </w:r>
      <w:r w:rsidR="00C37203" w:rsidRPr="00A4036C">
        <w:rPr>
          <w:rFonts w:ascii="Verdana" w:hAnsi="Verdana"/>
          <w:sz w:val="21"/>
          <w:szCs w:val="21"/>
        </w:rPr>
        <w:t xml:space="preserve"> stata </w:t>
      </w:r>
      <w:r w:rsidRPr="00A4036C">
        <w:rPr>
          <w:rFonts w:ascii="Verdana" w:hAnsi="Verdana"/>
          <w:sz w:val="21"/>
          <w:szCs w:val="21"/>
        </w:rPr>
        <w:t xml:space="preserve">inoltre </w:t>
      </w:r>
      <w:r w:rsidR="00C37203" w:rsidRPr="00A4036C">
        <w:rPr>
          <w:rFonts w:ascii="Verdana" w:hAnsi="Verdana"/>
          <w:sz w:val="21"/>
          <w:szCs w:val="21"/>
        </w:rPr>
        <w:t xml:space="preserve">rinnovata anche la Convenzione con </w:t>
      </w:r>
      <w:r w:rsidR="00D164EE" w:rsidRPr="00A4036C">
        <w:rPr>
          <w:rFonts w:ascii="Verdana" w:hAnsi="Verdana"/>
          <w:sz w:val="21"/>
          <w:szCs w:val="21"/>
        </w:rPr>
        <w:t xml:space="preserve">le realtà </w:t>
      </w:r>
      <w:r w:rsidR="00C37203" w:rsidRPr="00A4036C">
        <w:rPr>
          <w:rFonts w:ascii="Verdana" w:hAnsi="Verdana"/>
          <w:sz w:val="21"/>
          <w:szCs w:val="21"/>
        </w:rPr>
        <w:t xml:space="preserve">(Fondazione Montecatone Onlus e Associazione Unità Spinale Montecatone) </w:t>
      </w:r>
      <w:r w:rsidR="00D164EE" w:rsidRPr="00A4036C">
        <w:rPr>
          <w:rFonts w:ascii="Verdana" w:hAnsi="Verdana"/>
          <w:sz w:val="21"/>
          <w:szCs w:val="21"/>
        </w:rPr>
        <w:t xml:space="preserve">che </w:t>
      </w:r>
      <w:r w:rsidR="00C37203" w:rsidRPr="00A4036C">
        <w:rPr>
          <w:rFonts w:ascii="Verdana" w:hAnsi="Verdana"/>
          <w:sz w:val="21"/>
          <w:szCs w:val="21"/>
        </w:rPr>
        <w:t xml:space="preserve">selezionano e coordinano le </w:t>
      </w:r>
      <w:r w:rsidR="00D164EE" w:rsidRPr="00A4036C">
        <w:rPr>
          <w:rFonts w:ascii="Verdana" w:hAnsi="Verdana"/>
          <w:sz w:val="21"/>
          <w:szCs w:val="21"/>
        </w:rPr>
        <w:t>persone che prestano attività di volontariato in condizioni “alla pari” con i ricoverati (persone che vivono da tempo con una lesione midollar</w:t>
      </w:r>
      <w:r w:rsidR="00C37203" w:rsidRPr="00A4036C">
        <w:rPr>
          <w:rFonts w:ascii="Verdana" w:hAnsi="Verdana"/>
          <w:sz w:val="21"/>
          <w:szCs w:val="21"/>
        </w:rPr>
        <w:t>e, definite Esperti per Esperienza</w:t>
      </w:r>
      <w:r w:rsidR="00D164EE" w:rsidRPr="00A4036C">
        <w:rPr>
          <w:rFonts w:ascii="Verdana" w:hAnsi="Verdana"/>
          <w:sz w:val="21"/>
          <w:szCs w:val="21"/>
        </w:rPr>
        <w:t>).</w:t>
      </w:r>
    </w:p>
    <w:p w14:paraId="106CF979" w14:textId="77777777" w:rsidR="00F75E8E" w:rsidRDefault="00F75E8E" w:rsidP="00E13D27">
      <w:pPr>
        <w:spacing w:after="30" w:line="240" w:lineRule="auto"/>
        <w:jc w:val="both"/>
        <w:rPr>
          <w:rFonts w:ascii="Verdana" w:hAnsi="Verdana"/>
          <w:sz w:val="21"/>
          <w:szCs w:val="21"/>
        </w:rPr>
      </w:pPr>
      <w:r w:rsidRPr="00C57446">
        <w:rPr>
          <w:rFonts w:ascii="Verdana" w:hAnsi="Verdana"/>
          <w:sz w:val="21"/>
          <w:szCs w:val="21"/>
        </w:rPr>
        <w:t>Tutt</w:t>
      </w:r>
      <w:r w:rsidR="0099408E">
        <w:rPr>
          <w:rFonts w:ascii="Verdana" w:hAnsi="Verdana"/>
          <w:sz w:val="21"/>
          <w:szCs w:val="21"/>
        </w:rPr>
        <w:t>e</w:t>
      </w:r>
      <w:r w:rsidRPr="00C57446">
        <w:rPr>
          <w:rFonts w:ascii="Verdana" w:hAnsi="Verdana"/>
          <w:sz w:val="21"/>
          <w:szCs w:val="21"/>
        </w:rPr>
        <w:t xml:space="preserve"> le persone con disabilità collaboranti con gli Enti del Terzo Settore sopra richiamat</w:t>
      </w:r>
      <w:r w:rsidR="00316C1F">
        <w:rPr>
          <w:rFonts w:ascii="Verdana" w:hAnsi="Verdana"/>
          <w:sz w:val="21"/>
          <w:szCs w:val="21"/>
        </w:rPr>
        <w:t>i</w:t>
      </w:r>
      <w:r w:rsidRPr="00C57446">
        <w:rPr>
          <w:rFonts w:ascii="Verdana" w:hAnsi="Verdana"/>
          <w:sz w:val="21"/>
          <w:szCs w:val="21"/>
        </w:rPr>
        <w:t>, sono invitat</w:t>
      </w:r>
      <w:r w:rsidR="00C370F4">
        <w:rPr>
          <w:rFonts w:ascii="Verdana" w:hAnsi="Verdana"/>
          <w:sz w:val="21"/>
          <w:szCs w:val="21"/>
        </w:rPr>
        <w:t>e</w:t>
      </w:r>
      <w:r w:rsidRPr="00C57446">
        <w:rPr>
          <w:rFonts w:ascii="Verdana" w:hAnsi="Verdana"/>
          <w:sz w:val="21"/>
          <w:szCs w:val="21"/>
        </w:rPr>
        <w:t xml:space="preserve"> alla compilazione d</w:t>
      </w:r>
      <w:r w:rsidR="003669AD">
        <w:rPr>
          <w:rFonts w:ascii="Verdana" w:hAnsi="Verdana"/>
          <w:sz w:val="21"/>
          <w:szCs w:val="21"/>
        </w:rPr>
        <w:t>el</w:t>
      </w:r>
      <w:r w:rsidRPr="00C57446">
        <w:rPr>
          <w:rFonts w:ascii="Verdana" w:hAnsi="Verdana"/>
          <w:sz w:val="21"/>
          <w:szCs w:val="21"/>
        </w:rPr>
        <w:t xml:space="preserve"> </w:t>
      </w:r>
      <w:r w:rsidRPr="00F5319F">
        <w:rPr>
          <w:rFonts w:ascii="Verdana" w:hAnsi="Verdana"/>
          <w:sz w:val="21"/>
          <w:szCs w:val="21"/>
        </w:rPr>
        <w:t xml:space="preserve">modulo </w:t>
      </w:r>
      <w:r w:rsidR="003669AD" w:rsidRPr="00F5319F">
        <w:rPr>
          <w:rFonts w:ascii="Verdana" w:hAnsi="Verdana"/>
          <w:sz w:val="21"/>
          <w:szCs w:val="21"/>
        </w:rPr>
        <w:t xml:space="preserve">aziendale </w:t>
      </w:r>
      <w:r w:rsidRPr="00F5319F">
        <w:rPr>
          <w:rFonts w:ascii="Verdana" w:hAnsi="Verdana"/>
          <w:sz w:val="21"/>
          <w:szCs w:val="21"/>
        </w:rPr>
        <w:t>sull’assenza di conflitto di interesse (M</w:t>
      </w:r>
      <w:r w:rsidR="003669AD" w:rsidRPr="00F5319F">
        <w:rPr>
          <w:rFonts w:ascii="Verdana" w:hAnsi="Verdana"/>
          <w:sz w:val="21"/>
          <w:szCs w:val="21"/>
        </w:rPr>
        <w:t>301</w:t>
      </w:r>
      <w:r w:rsidRPr="00F5319F">
        <w:rPr>
          <w:rFonts w:ascii="Verdana" w:hAnsi="Verdana"/>
          <w:sz w:val="21"/>
          <w:szCs w:val="21"/>
        </w:rPr>
        <w:t>).</w:t>
      </w:r>
    </w:p>
    <w:p w14:paraId="3FAB488F" w14:textId="77777777" w:rsidR="00154A10" w:rsidRDefault="00154A10" w:rsidP="00E13D27">
      <w:pPr>
        <w:spacing w:after="30" w:line="240" w:lineRule="auto"/>
        <w:jc w:val="both"/>
        <w:rPr>
          <w:rFonts w:ascii="Verdana" w:hAnsi="Verdana"/>
          <w:sz w:val="21"/>
          <w:szCs w:val="21"/>
        </w:rPr>
      </w:pPr>
    </w:p>
    <w:p w14:paraId="65A950A4" w14:textId="1F2EEE0D" w:rsidR="00D33653" w:rsidRPr="000D79ED" w:rsidRDefault="00D33653" w:rsidP="00E13D27">
      <w:pPr>
        <w:spacing w:after="30" w:line="240" w:lineRule="auto"/>
        <w:jc w:val="both"/>
        <w:rPr>
          <w:rFonts w:ascii="Verdana" w:hAnsi="Verdana"/>
          <w:sz w:val="21"/>
          <w:szCs w:val="21"/>
        </w:rPr>
      </w:pPr>
      <w:r w:rsidRPr="000D79ED">
        <w:rPr>
          <w:rFonts w:ascii="Verdana" w:hAnsi="Verdana"/>
          <w:sz w:val="21"/>
          <w:szCs w:val="21"/>
        </w:rPr>
        <w:t>Da gennaio 2025, MRI è stata ammessa tra i soggetti fondatori partecipanti istituzionali della Fondazione Gli Amici di Luca Casa dei Risvegli Luca De Nigris ETS, ente del terzo settore che tra l’altro si occupa di interventi di assistenza e sostegno sociale rivolti alla popolazione di persone con esiti di grave cerebrolesione acquisita ed ai loro care-</w:t>
      </w:r>
      <w:proofErr w:type="spellStart"/>
      <w:r w:rsidRPr="000D79ED">
        <w:rPr>
          <w:rFonts w:ascii="Verdana" w:hAnsi="Verdana"/>
          <w:sz w:val="21"/>
          <w:szCs w:val="21"/>
        </w:rPr>
        <w:t>givers</w:t>
      </w:r>
      <w:proofErr w:type="spellEnd"/>
      <w:r w:rsidRPr="000D79ED">
        <w:rPr>
          <w:rFonts w:ascii="Verdana" w:hAnsi="Verdana"/>
          <w:sz w:val="21"/>
          <w:szCs w:val="21"/>
        </w:rPr>
        <w:t xml:space="preserve"> familiari.</w:t>
      </w:r>
    </w:p>
    <w:p w14:paraId="6E506C31" w14:textId="77777777" w:rsidR="00D33653" w:rsidRDefault="00D33653" w:rsidP="00E13D27">
      <w:pPr>
        <w:spacing w:after="30" w:line="240" w:lineRule="auto"/>
        <w:jc w:val="both"/>
        <w:rPr>
          <w:rFonts w:ascii="Verdana" w:hAnsi="Verdana"/>
          <w:sz w:val="21"/>
          <w:szCs w:val="21"/>
        </w:rPr>
      </w:pPr>
    </w:p>
    <w:p w14:paraId="3C36022E" w14:textId="77777777" w:rsidR="002E730C" w:rsidRPr="00C57446" w:rsidRDefault="002E730C" w:rsidP="00E13D27">
      <w:pPr>
        <w:spacing w:after="30" w:line="240" w:lineRule="auto"/>
        <w:jc w:val="both"/>
        <w:rPr>
          <w:rFonts w:ascii="Verdana" w:hAnsi="Verdana"/>
          <w:sz w:val="21"/>
          <w:szCs w:val="21"/>
        </w:rPr>
      </w:pPr>
    </w:p>
    <w:p w14:paraId="383699C3" w14:textId="73B14779" w:rsidR="00DC28D5" w:rsidRPr="00EC72D2" w:rsidRDefault="000958FD" w:rsidP="00D82DC3">
      <w:pPr>
        <w:pStyle w:val="Titolo2"/>
        <w:rPr>
          <w:lang w:val="it-IT" w:eastAsia="it-IT"/>
        </w:rPr>
      </w:pPr>
      <w:bookmarkStart w:id="13" w:name="_Toc225863533"/>
      <w:r w:rsidRPr="0009315F">
        <w:rPr>
          <w:lang w:eastAsia="it-IT"/>
        </w:rPr>
        <w:t>G.3 DIMENSIONI DI MRI E DISECONOMIE DI SCALA NEI SERVIZI DI SUPPORTO</w:t>
      </w:r>
      <w:bookmarkEnd w:id="13"/>
      <w:r w:rsidR="00CC1E98">
        <w:rPr>
          <w:lang w:eastAsia="it-IT"/>
        </w:rPr>
        <w:t xml:space="preserve"> </w:t>
      </w:r>
    </w:p>
    <w:p w14:paraId="21B592B3" w14:textId="77777777" w:rsidR="000958FD" w:rsidRPr="000958FD" w:rsidRDefault="000958FD" w:rsidP="000958FD">
      <w:pPr>
        <w:spacing w:after="30" w:line="240" w:lineRule="auto"/>
        <w:jc w:val="both"/>
        <w:rPr>
          <w:rFonts w:ascii="Verdana" w:hAnsi="Verdana"/>
          <w:sz w:val="12"/>
          <w:szCs w:val="21"/>
        </w:rPr>
      </w:pPr>
    </w:p>
    <w:p w14:paraId="55E2E136" w14:textId="77777777" w:rsidR="00DC28D5" w:rsidRPr="00BF7D4E" w:rsidRDefault="00DC28D5">
      <w:pPr>
        <w:pStyle w:val="Corpotesto"/>
        <w:spacing w:line="240" w:lineRule="auto"/>
        <w:rPr>
          <w:rFonts w:ascii="Verdana" w:hAnsi="Verdana"/>
          <w:iCs/>
          <w:sz w:val="21"/>
          <w:szCs w:val="21"/>
          <w:highlight w:val="lightGray"/>
          <w:shd w:val="clear" w:color="auto" w:fill="CCCCCC"/>
          <w:lang w:val="it-IT"/>
        </w:rPr>
      </w:pPr>
    </w:p>
    <w:p w14:paraId="7BE6C455" w14:textId="6963E06D" w:rsidR="00DC28D5" w:rsidRPr="0002469D" w:rsidRDefault="00DC28D5">
      <w:pPr>
        <w:pStyle w:val="Default"/>
        <w:spacing w:after="30"/>
        <w:jc w:val="both"/>
        <w:rPr>
          <w:rFonts w:ascii="Verdana" w:hAnsi="Verdana" w:cs="Times New Roman"/>
          <w:color w:val="auto"/>
          <w:sz w:val="21"/>
          <w:szCs w:val="21"/>
        </w:rPr>
      </w:pPr>
      <w:r w:rsidRPr="0002469D">
        <w:rPr>
          <w:rFonts w:ascii="Verdana" w:hAnsi="Verdana" w:cs="Times New Roman"/>
          <w:color w:val="auto"/>
          <w:sz w:val="21"/>
          <w:szCs w:val="21"/>
        </w:rPr>
        <w:t xml:space="preserve">Alla data del 31 </w:t>
      </w:r>
      <w:r w:rsidRPr="00BF7D4E">
        <w:rPr>
          <w:rFonts w:ascii="Verdana" w:hAnsi="Verdana" w:cs="Times New Roman"/>
          <w:color w:val="auto"/>
          <w:sz w:val="21"/>
          <w:szCs w:val="21"/>
        </w:rPr>
        <w:t>dicembre 20</w:t>
      </w:r>
      <w:r w:rsidR="003C06A7" w:rsidRPr="00BF7D4E">
        <w:rPr>
          <w:rFonts w:ascii="Verdana" w:hAnsi="Verdana" w:cs="Times New Roman"/>
          <w:color w:val="auto"/>
          <w:sz w:val="21"/>
          <w:szCs w:val="21"/>
        </w:rPr>
        <w:t>2</w:t>
      </w:r>
      <w:r w:rsidR="0002469D" w:rsidRPr="00BF7D4E">
        <w:rPr>
          <w:rFonts w:ascii="Verdana" w:hAnsi="Verdana" w:cs="Times New Roman"/>
          <w:color w:val="auto"/>
          <w:sz w:val="21"/>
          <w:szCs w:val="21"/>
        </w:rPr>
        <w:t>5</w:t>
      </w:r>
      <w:r w:rsidRPr="00BF7D4E">
        <w:rPr>
          <w:rFonts w:ascii="Verdana" w:hAnsi="Verdana" w:cs="Times New Roman"/>
          <w:color w:val="auto"/>
          <w:sz w:val="21"/>
          <w:szCs w:val="21"/>
        </w:rPr>
        <w:t xml:space="preserve"> il </w:t>
      </w:r>
      <w:r w:rsidR="0002469D" w:rsidRPr="00BF7D4E">
        <w:rPr>
          <w:rFonts w:ascii="Verdana" w:hAnsi="Verdana" w:cs="Times New Roman"/>
          <w:color w:val="auto"/>
          <w:sz w:val="21"/>
          <w:szCs w:val="21"/>
        </w:rPr>
        <w:t xml:space="preserve">solo </w:t>
      </w:r>
      <w:r w:rsidRPr="00BF7D4E">
        <w:rPr>
          <w:rFonts w:ascii="Verdana" w:hAnsi="Verdana" w:cs="Times New Roman"/>
          <w:color w:val="auto"/>
          <w:sz w:val="21"/>
          <w:szCs w:val="21"/>
        </w:rPr>
        <w:t>personale</w:t>
      </w:r>
      <w:r w:rsidR="00CD44C8" w:rsidRPr="00BF7D4E">
        <w:rPr>
          <w:rFonts w:ascii="Verdana" w:hAnsi="Verdana" w:cs="Times New Roman"/>
          <w:color w:val="auto"/>
          <w:sz w:val="21"/>
          <w:szCs w:val="21"/>
        </w:rPr>
        <w:t xml:space="preserve"> dipendente</w:t>
      </w:r>
      <w:r w:rsidRPr="00BF7D4E">
        <w:rPr>
          <w:rFonts w:ascii="Verdana" w:hAnsi="Verdana" w:cs="Times New Roman"/>
          <w:color w:val="auto"/>
          <w:sz w:val="21"/>
          <w:szCs w:val="21"/>
        </w:rPr>
        <w:t xml:space="preserve"> che prestava la propria attività presso MRI era costituito da </w:t>
      </w:r>
      <w:r w:rsidR="0057723F" w:rsidRPr="00BF7D4E">
        <w:rPr>
          <w:rFonts w:ascii="Verdana" w:hAnsi="Verdana" w:cs="Times New Roman"/>
          <w:color w:val="auto"/>
          <w:sz w:val="21"/>
          <w:szCs w:val="21"/>
        </w:rPr>
        <w:t>44</w:t>
      </w:r>
      <w:r w:rsidR="0002469D" w:rsidRPr="00BF7D4E">
        <w:rPr>
          <w:rFonts w:ascii="Verdana" w:hAnsi="Verdana" w:cs="Times New Roman"/>
          <w:color w:val="auto"/>
          <w:sz w:val="21"/>
          <w:szCs w:val="21"/>
        </w:rPr>
        <w:t>6</w:t>
      </w:r>
      <w:r w:rsidRPr="00BF7D4E">
        <w:rPr>
          <w:rFonts w:ascii="Verdana" w:hAnsi="Verdana" w:cs="Times New Roman"/>
          <w:color w:val="auto"/>
          <w:sz w:val="21"/>
          <w:szCs w:val="21"/>
        </w:rPr>
        <w:t xml:space="preserve"> unità </w:t>
      </w:r>
      <w:r w:rsidRPr="0002469D">
        <w:rPr>
          <w:rFonts w:ascii="Verdana" w:hAnsi="Verdana" w:cs="Times New Roman"/>
          <w:color w:val="auto"/>
          <w:sz w:val="21"/>
          <w:szCs w:val="21"/>
        </w:rPr>
        <w:t>così suddivis</w:t>
      </w:r>
      <w:r w:rsidR="0057723F" w:rsidRPr="0002469D">
        <w:rPr>
          <w:rFonts w:ascii="Verdana" w:hAnsi="Verdana" w:cs="Times New Roman"/>
          <w:color w:val="auto"/>
          <w:sz w:val="21"/>
          <w:szCs w:val="21"/>
        </w:rPr>
        <w:t>e</w:t>
      </w:r>
      <w:r w:rsidRPr="0002469D">
        <w:rPr>
          <w:rFonts w:ascii="Verdana" w:hAnsi="Verdana" w:cs="Times New Roman"/>
          <w:color w:val="auto"/>
          <w:sz w:val="21"/>
          <w:szCs w:val="21"/>
        </w:rPr>
        <w:t xml:space="preserve"> per mansioni:</w:t>
      </w:r>
    </w:p>
    <w:p w14:paraId="5F06EA69" w14:textId="77777777" w:rsidR="00DC28D5" w:rsidRPr="0002469D" w:rsidRDefault="00DC28D5">
      <w:pPr>
        <w:pStyle w:val="Default"/>
        <w:spacing w:after="120"/>
        <w:jc w:val="both"/>
        <w:rPr>
          <w:rFonts w:ascii="Verdana" w:eastAsia="MS Mincho" w:hAnsi="Verdana" w:cs="Times New Roman"/>
          <w:color w:val="FF0000"/>
          <w:sz w:val="21"/>
          <w:szCs w:val="21"/>
          <w:shd w:val="clear" w:color="auto" w:fill="CCCCCC"/>
          <w:lang w:eastAsia="ja-JP"/>
        </w:rPr>
      </w:pPr>
    </w:p>
    <w:tbl>
      <w:tblPr>
        <w:tblW w:w="5000" w:type="pct"/>
        <w:tblCellMar>
          <w:left w:w="70" w:type="dxa"/>
          <w:right w:w="70" w:type="dxa"/>
        </w:tblCellMar>
        <w:tblLook w:val="0000" w:firstRow="0" w:lastRow="0" w:firstColumn="0" w:lastColumn="0" w:noHBand="0" w:noVBand="0"/>
      </w:tblPr>
      <w:tblGrid>
        <w:gridCol w:w="3445"/>
        <w:gridCol w:w="1970"/>
        <w:gridCol w:w="1939"/>
        <w:gridCol w:w="2264"/>
      </w:tblGrid>
      <w:tr w:rsidR="00833807" w:rsidRPr="0002469D" w14:paraId="02CEFD84" w14:textId="77777777" w:rsidTr="001B4ADF">
        <w:trPr>
          <w:trHeight w:val="875"/>
        </w:trPr>
        <w:tc>
          <w:tcPr>
            <w:tcW w:w="1791" w:type="pct"/>
            <w:tcBorders>
              <w:top w:val="single" w:sz="8" w:space="0" w:color="000000"/>
              <w:left w:val="single" w:sz="8" w:space="0" w:color="000000"/>
              <w:bottom w:val="single" w:sz="8" w:space="0" w:color="000000"/>
            </w:tcBorders>
            <w:shd w:val="clear" w:color="auto" w:fill="D9D9D9"/>
            <w:vAlign w:val="center"/>
          </w:tcPr>
          <w:p w14:paraId="275BAFF6" w14:textId="77777777" w:rsidR="00CD44C8" w:rsidRPr="0002469D" w:rsidRDefault="00CD44C8" w:rsidP="00A46047">
            <w:pPr>
              <w:pStyle w:val="Nessunaspaziatura"/>
              <w:jc w:val="center"/>
              <w:rPr>
                <w:rFonts w:ascii="Verdana" w:hAnsi="Verdana"/>
                <w:b/>
              </w:rPr>
            </w:pPr>
            <w:bookmarkStart w:id="14" w:name="_Hlk219884664"/>
            <w:r w:rsidRPr="0002469D">
              <w:rPr>
                <w:rFonts w:ascii="Verdana" w:hAnsi="Verdana"/>
                <w:b/>
              </w:rPr>
              <w:t>MANSIONI</w:t>
            </w:r>
          </w:p>
        </w:tc>
        <w:tc>
          <w:tcPr>
            <w:tcW w:w="1024" w:type="pct"/>
            <w:tcBorders>
              <w:top w:val="single" w:sz="8" w:space="0" w:color="000000"/>
              <w:left w:val="single" w:sz="8" w:space="0" w:color="000000"/>
            </w:tcBorders>
            <w:shd w:val="clear" w:color="auto" w:fill="D9D9D9"/>
            <w:vAlign w:val="center"/>
          </w:tcPr>
          <w:p w14:paraId="037A46D7" w14:textId="6AC67072" w:rsidR="00CD44C8" w:rsidRPr="00BF7D4E" w:rsidRDefault="00CD44C8" w:rsidP="00A46047">
            <w:pPr>
              <w:pStyle w:val="Nessunaspaziatura"/>
              <w:jc w:val="center"/>
              <w:rPr>
                <w:rFonts w:ascii="Verdana" w:hAnsi="Verdana"/>
                <w:b/>
              </w:rPr>
            </w:pPr>
            <w:r w:rsidRPr="00BF7D4E">
              <w:rPr>
                <w:rFonts w:ascii="Verdana" w:hAnsi="Verdana"/>
                <w:b/>
              </w:rPr>
              <w:t>PERSONALE AL 31</w:t>
            </w:r>
            <w:r w:rsidR="00490CCC" w:rsidRPr="00BF7D4E">
              <w:rPr>
                <w:rFonts w:ascii="Verdana" w:hAnsi="Verdana"/>
                <w:b/>
              </w:rPr>
              <w:t>.</w:t>
            </w:r>
            <w:r w:rsidRPr="00BF7D4E">
              <w:rPr>
                <w:rFonts w:ascii="Verdana" w:hAnsi="Verdana"/>
                <w:b/>
              </w:rPr>
              <w:t>12</w:t>
            </w:r>
            <w:r w:rsidR="00490CCC" w:rsidRPr="00BF7D4E">
              <w:rPr>
                <w:rFonts w:ascii="Verdana" w:hAnsi="Verdana"/>
                <w:b/>
              </w:rPr>
              <w:t>.</w:t>
            </w:r>
            <w:r w:rsidRPr="00BF7D4E">
              <w:rPr>
                <w:rFonts w:ascii="Verdana" w:hAnsi="Verdana"/>
                <w:b/>
              </w:rPr>
              <w:t>20</w:t>
            </w:r>
            <w:r w:rsidR="00490CCC" w:rsidRPr="00BF7D4E">
              <w:rPr>
                <w:rFonts w:ascii="Verdana" w:hAnsi="Verdana"/>
                <w:b/>
              </w:rPr>
              <w:t>2</w:t>
            </w:r>
            <w:r w:rsidR="0002469D" w:rsidRPr="00BF7D4E">
              <w:rPr>
                <w:rFonts w:ascii="Verdana" w:hAnsi="Verdana"/>
                <w:b/>
              </w:rPr>
              <w:t>5</w:t>
            </w:r>
          </w:p>
        </w:tc>
        <w:tc>
          <w:tcPr>
            <w:tcW w:w="1008" w:type="pct"/>
            <w:tcBorders>
              <w:top w:val="single" w:sz="8" w:space="0" w:color="000000"/>
              <w:left w:val="single" w:sz="8" w:space="0" w:color="000000"/>
            </w:tcBorders>
            <w:shd w:val="clear" w:color="auto" w:fill="D9D9D9"/>
            <w:vAlign w:val="center"/>
          </w:tcPr>
          <w:p w14:paraId="04FC4AC0" w14:textId="4F30184A" w:rsidR="00CD44C8" w:rsidRPr="00BF7D4E" w:rsidRDefault="00CD44C8" w:rsidP="00A46047">
            <w:pPr>
              <w:pStyle w:val="Nessunaspaziatura"/>
              <w:jc w:val="center"/>
              <w:rPr>
                <w:rFonts w:ascii="Verdana" w:hAnsi="Verdana"/>
                <w:b/>
              </w:rPr>
            </w:pPr>
            <w:r w:rsidRPr="00BF7D4E">
              <w:rPr>
                <w:rFonts w:ascii="Verdana" w:hAnsi="Verdana"/>
                <w:b/>
              </w:rPr>
              <w:t>PERSONALE AL 31</w:t>
            </w:r>
            <w:r w:rsidR="00490CCC" w:rsidRPr="00BF7D4E">
              <w:rPr>
                <w:rFonts w:ascii="Verdana" w:hAnsi="Verdana"/>
                <w:b/>
              </w:rPr>
              <w:t>.</w:t>
            </w:r>
            <w:r w:rsidRPr="00BF7D4E">
              <w:rPr>
                <w:rFonts w:ascii="Verdana" w:hAnsi="Verdana"/>
                <w:b/>
              </w:rPr>
              <w:t>12</w:t>
            </w:r>
            <w:r w:rsidR="00490CCC" w:rsidRPr="00BF7D4E">
              <w:rPr>
                <w:rFonts w:ascii="Verdana" w:hAnsi="Verdana"/>
                <w:b/>
              </w:rPr>
              <w:t>.</w:t>
            </w:r>
            <w:r w:rsidRPr="00BF7D4E">
              <w:rPr>
                <w:rFonts w:ascii="Verdana" w:hAnsi="Verdana"/>
                <w:b/>
              </w:rPr>
              <w:t>20</w:t>
            </w:r>
            <w:r w:rsidR="00C42CF8" w:rsidRPr="00BF7D4E">
              <w:rPr>
                <w:rFonts w:ascii="Verdana" w:hAnsi="Verdana"/>
                <w:b/>
              </w:rPr>
              <w:t>2</w:t>
            </w:r>
            <w:r w:rsidR="0002469D" w:rsidRPr="00BF7D4E">
              <w:rPr>
                <w:rFonts w:ascii="Verdana" w:hAnsi="Verdana"/>
                <w:b/>
              </w:rPr>
              <w:t>4</w:t>
            </w:r>
          </w:p>
        </w:tc>
        <w:tc>
          <w:tcPr>
            <w:tcW w:w="1177" w:type="pct"/>
            <w:tcBorders>
              <w:top w:val="single" w:sz="8" w:space="0" w:color="000000"/>
              <w:left w:val="single" w:sz="8" w:space="0" w:color="000000"/>
              <w:right w:val="single" w:sz="8" w:space="0" w:color="000000"/>
            </w:tcBorders>
            <w:shd w:val="clear" w:color="auto" w:fill="D9D9D9"/>
            <w:vAlign w:val="center"/>
          </w:tcPr>
          <w:p w14:paraId="5DCC5468" w14:textId="77777777" w:rsidR="00CD44C8" w:rsidRPr="00BF7D4E" w:rsidRDefault="00CD44C8" w:rsidP="00A46047">
            <w:pPr>
              <w:pStyle w:val="Nessunaspaziatura"/>
              <w:jc w:val="center"/>
              <w:rPr>
                <w:rFonts w:ascii="Verdana" w:hAnsi="Verdana"/>
                <w:b/>
              </w:rPr>
            </w:pPr>
            <w:r w:rsidRPr="00BF7D4E">
              <w:rPr>
                <w:rFonts w:ascii="Verdana" w:hAnsi="Verdana"/>
                <w:b/>
              </w:rPr>
              <w:t>INCREMENTI (DECREMENTI)</w:t>
            </w:r>
          </w:p>
        </w:tc>
      </w:tr>
      <w:tr w:rsidR="00BB6EE1" w:rsidRPr="0002469D" w14:paraId="7A19BF49" w14:textId="77777777" w:rsidTr="000958FD">
        <w:trPr>
          <w:trHeight w:val="567"/>
        </w:trPr>
        <w:tc>
          <w:tcPr>
            <w:tcW w:w="1791" w:type="pct"/>
            <w:tcBorders>
              <w:top w:val="single" w:sz="8" w:space="0" w:color="000000"/>
              <w:left w:val="single" w:sz="8" w:space="0" w:color="000000"/>
            </w:tcBorders>
            <w:vAlign w:val="center"/>
          </w:tcPr>
          <w:p w14:paraId="59E05B5C" w14:textId="77777777" w:rsidR="00BB6EE1" w:rsidRPr="0002469D" w:rsidRDefault="00BB6EE1" w:rsidP="00BB6EE1">
            <w:pPr>
              <w:pStyle w:val="Nessunaspaziatura"/>
              <w:rPr>
                <w:rFonts w:ascii="Verdana" w:hAnsi="Verdana"/>
                <w:bCs/>
              </w:rPr>
            </w:pPr>
            <w:r w:rsidRPr="0002469D">
              <w:rPr>
                <w:rFonts w:ascii="Verdana" w:hAnsi="Verdana"/>
              </w:rPr>
              <w:t>PERSONALE MEDICO</w:t>
            </w:r>
          </w:p>
        </w:tc>
        <w:tc>
          <w:tcPr>
            <w:tcW w:w="1024" w:type="pct"/>
            <w:tcBorders>
              <w:top w:val="single" w:sz="8" w:space="0" w:color="000000"/>
              <w:left w:val="single" w:sz="8" w:space="0" w:color="000000"/>
            </w:tcBorders>
            <w:vAlign w:val="center"/>
          </w:tcPr>
          <w:p w14:paraId="0F1DD149" w14:textId="57E692EF" w:rsidR="00BB6EE1" w:rsidRPr="00BF7D4E" w:rsidRDefault="0002469D" w:rsidP="00BB6EE1">
            <w:pPr>
              <w:pStyle w:val="Nessunaspaziatura"/>
              <w:jc w:val="center"/>
              <w:rPr>
                <w:rFonts w:ascii="Verdana" w:hAnsi="Verdana"/>
              </w:rPr>
            </w:pPr>
            <w:r w:rsidRPr="00BF7D4E">
              <w:rPr>
                <w:rFonts w:ascii="Verdana" w:hAnsi="Verdana"/>
              </w:rPr>
              <w:t>38</w:t>
            </w:r>
          </w:p>
        </w:tc>
        <w:tc>
          <w:tcPr>
            <w:tcW w:w="1008" w:type="pct"/>
            <w:tcBorders>
              <w:top w:val="single" w:sz="8" w:space="0" w:color="000000"/>
              <w:left w:val="single" w:sz="8" w:space="0" w:color="000000"/>
            </w:tcBorders>
            <w:vAlign w:val="center"/>
          </w:tcPr>
          <w:p w14:paraId="05F2A77A" w14:textId="7D1E7246" w:rsidR="00BB6EE1" w:rsidRPr="00BF7D4E" w:rsidRDefault="0002469D" w:rsidP="00BB6EE1">
            <w:pPr>
              <w:pStyle w:val="Nessunaspaziatura"/>
              <w:jc w:val="center"/>
              <w:rPr>
                <w:rFonts w:ascii="Verdana" w:hAnsi="Verdana"/>
              </w:rPr>
            </w:pPr>
            <w:r w:rsidRPr="00BF7D4E">
              <w:rPr>
                <w:rFonts w:ascii="Verdana" w:hAnsi="Verdana"/>
              </w:rPr>
              <w:t>34</w:t>
            </w:r>
          </w:p>
        </w:tc>
        <w:tc>
          <w:tcPr>
            <w:tcW w:w="1177" w:type="pct"/>
            <w:tcBorders>
              <w:top w:val="single" w:sz="8" w:space="0" w:color="000000"/>
              <w:left w:val="single" w:sz="8" w:space="0" w:color="000000"/>
              <w:right w:val="single" w:sz="8" w:space="0" w:color="000000"/>
            </w:tcBorders>
            <w:vAlign w:val="center"/>
          </w:tcPr>
          <w:p w14:paraId="490FB183" w14:textId="23259187" w:rsidR="00BB6EE1" w:rsidRPr="00BF7D4E" w:rsidRDefault="0002469D" w:rsidP="00BB6EE1">
            <w:pPr>
              <w:pStyle w:val="Nessunaspaziatura"/>
              <w:jc w:val="center"/>
              <w:rPr>
                <w:rFonts w:ascii="Verdana" w:hAnsi="Verdana"/>
              </w:rPr>
            </w:pPr>
            <w:r w:rsidRPr="00BF7D4E">
              <w:rPr>
                <w:rFonts w:ascii="Verdana" w:hAnsi="Verdana"/>
              </w:rPr>
              <w:t>4</w:t>
            </w:r>
          </w:p>
        </w:tc>
      </w:tr>
      <w:tr w:rsidR="00BB6EE1" w:rsidRPr="0002469D" w14:paraId="2C736825" w14:textId="77777777" w:rsidTr="000958FD">
        <w:trPr>
          <w:trHeight w:val="567"/>
        </w:trPr>
        <w:tc>
          <w:tcPr>
            <w:tcW w:w="1791" w:type="pct"/>
            <w:tcBorders>
              <w:top w:val="single" w:sz="8" w:space="0" w:color="000000"/>
              <w:left w:val="single" w:sz="8" w:space="0" w:color="000000"/>
            </w:tcBorders>
            <w:vAlign w:val="center"/>
          </w:tcPr>
          <w:p w14:paraId="48CC4569" w14:textId="77777777" w:rsidR="00BB6EE1" w:rsidRPr="0002469D" w:rsidRDefault="00BB6EE1" w:rsidP="00BB6EE1">
            <w:pPr>
              <w:pStyle w:val="Nessunaspaziatura"/>
              <w:rPr>
                <w:rFonts w:ascii="Verdana" w:hAnsi="Verdana"/>
              </w:rPr>
            </w:pPr>
            <w:r w:rsidRPr="0002469D">
              <w:rPr>
                <w:rFonts w:ascii="Verdana" w:hAnsi="Verdana"/>
              </w:rPr>
              <w:t xml:space="preserve">PERSONALE SANITARIO </w:t>
            </w:r>
          </w:p>
          <w:p w14:paraId="5F8FAA94" w14:textId="77777777" w:rsidR="00BB6EE1" w:rsidRPr="0002469D" w:rsidRDefault="00BB6EE1" w:rsidP="00BB6EE1">
            <w:pPr>
              <w:pStyle w:val="Nessunaspaziatura"/>
              <w:rPr>
                <w:rFonts w:ascii="Verdana" w:hAnsi="Verdana"/>
              </w:rPr>
            </w:pPr>
            <w:r w:rsidRPr="0002469D">
              <w:rPr>
                <w:rFonts w:ascii="Verdana" w:hAnsi="Verdana"/>
              </w:rPr>
              <w:t>NON MEDICO DIRIGENTE</w:t>
            </w:r>
          </w:p>
        </w:tc>
        <w:tc>
          <w:tcPr>
            <w:tcW w:w="1024" w:type="pct"/>
            <w:tcBorders>
              <w:top w:val="single" w:sz="8" w:space="0" w:color="000000"/>
              <w:left w:val="single" w:sz="8" w:space="0" w:color="000000"/>
            </w:tcBorders>
            <w:vAlign w:val="center"/>
          </w:tcPr>
          <w:p w14:paraId="258FDD03" w14:textId="77777777" w:rsidR="00BB6EE1" w:rsidRPr="00BF7D4E" w:rsidRDefault="00AE31A9" w:rsidP="00BB6EE1">
            <w:pPr>
              <w:pStyle w:val="Nessunaspaziatura"/>
              <w:jc w:val="center"/>
              <w:rPr>
                <w:rFonts w:ascii="Verdana" w:hAnsi="Verdana"/>
              </w:rPr>
            </w:pPr>
            <w:r w:rsidRPr="00BF7D4E">
              <w:rPr>
                <w:rFonts w:ascii="Verdana" w:hAnsi="Verdana"/>
              </w:rPr>
              <w:t>5</w:t>
            </w:r>
          </w:p>
        </w:tc>
        <w:tc>
          <w:tcPr>
            <w:tcW w:w="1008" w:type="pct"/>
            <w:tcBorders>
              <w:top w:val="single" w:sz="8" w:space="0" w:color="000000"/>
              <w:left w:val="single" w:sz="8" w:space="0" w:color="000000"/>
            </w:tcBorders>
            <w:vAlign w:val="center"/>
          </w:tcPr>
          <w:p w14:paraId="1B1E8F7D" w14:textId="31AF41CF" w:rsidR="00BB6EE1" w:rsidRPr="00BF7D4E" w:rsidRDefault="0002469D" w:rsidP="00BB6EE1">
            <w:pPr>
              <w:pStyle w:val="Nessunaspaziatura"/>
              <w:jc w:val="center"/>
              <w:rPr>
                <w:rFonts w:ascii="Verdana" w:hAnsi="Verdana"/>
              </w:rPr>
            </w:pPr>
            <w:r w:rsidRPr="00BF7D4E">
              <w:rPr>
                <w:rFonts w:ascii="Verdana" w:hAnsi="Verdana"/>
              </w:rPr>
              <w:t>5</w:t>
            </w:r>
          </w:p>
        </w:tc>
        <w:tc>
          <w:tcPr>
            <w:tcW w:w="1177" w:type="pct"/>
            <w:tcBorders>
              <w:top w:val="single" w:sz="8" w:space="0" w:color="000000"/>
              <w:left w:val="single" w:sz="8" w:space="0" w:color="000000"/>
              <w:right w:val="single" w:sz="8" w:space="0" w:color="000000"/>
            </w:tcBorders>
            <w:vAlign w:val="center"/>
          </w:tcPr>
          <w:p w14:paraId="7E736840" w14:textId="734CB4FE" w:rsidR="00BB6EE1" w:rsidRPr="00BF7D4E" w:rsidRDefault="00BB6EE1" w:rsidP="00BB6EE1">
            <w:pPr>
              <w:pStyle w:val="Nessunaspaziatura"/>
              <w:jc w:val="center"/>
              <w:rPr>
                <w:rFonts w:ascii="Verdana" w:hAnsi="Verdana"/>
              </w:rPr>
            </w:pPr>
          </w:p>
        </w:tc>
      </w:tr>
      <w:tr w:rsidR="00BB6EE1" w:rsidRPr="0002469D" w14:paraId="6813ABE9" w14:textId="77777777" w:rsidTr="000958FD">
        <w:trPr>
          <w:trHeight w:val="567"/>
        </w:trPr>
        <w:tc>
          <w:tcPr>
            <w:tcW w:w="1791" w:type="pct"/>
            <w:tcBorders>
              <w:top w:val="single" w:sz="8" w:space="0" w:color="000000"/>
              <w:left w:val="single" w:sz="8" w:space="0" w:color="000000"/>
            </w:tcBorders>
            <w:vAlign w:val="center"/>
          </w:tcPr>
          <w:p w14:paraId="626F27E2" w14:textId="77777777" w:rsidR="00BB6EE1" w:rsidRPr="0002469D" w:rsidRDefault="00BB6EE1" w:rsidP="00BB6EE1">
            <w:pPr>
              <w:pStyle w:val="Nessunaspaziatura"/>
              <w:rPr>
                <w:rFonts w:ascii="Verdana" w:hAnsi="Verdana"/>
              </w:rPr>
            </w:pPr>
            <w:r w:rsidRPr="0002469D">
              <w:rPr>
                <w:rFonts w:ascii="Verdana" w:hAnsi="Verdana"/>
              </w:rPr>
              <w:t>PERSONALE AREA INFERMIERISTICA</w:t>
            </w:r>
          </w:p>
        </w:tc>
        <w:tc>
          <w:tcPr>
            <w:tcW w:w="1024" w:type="pct"/>
            <w:tcBorders>
              <w:top w:val="single" w:sz="8" w:space="0" w:color="000000"/>
              <w:left w:val="single" w:sz="8" w:space="0" w:color="000000"/>
            </w:tcBorders>
            <w:vAlign w:val="center"/>
          </w:tcPr>
          <w:p w14:paraId="5D59FE23" w14:textId="13D8F122" w:rsidR="00BB6EE1" w:rsidRPr="00AD08F6" w:rsidRDefault="00C745CF" w:rsidP="00BB6EE1">
            <w:pPr>
              <w:pStyle w:val="Nessunaspaziatura"/>
              <w:jc w:val="center"/>
              <w:rPr>
                <w:rFonts w:ascii="Verdana" w:hAnsi="Verdana"/>
              </w:rPr>
            </w:pPr>
            <w:r w:rsidRPr="00AD08F6">
              <w:rPr>
                <w:rFonts w:ascii="Verdana" w:hAnsi="Verdana"/>
              </w:rPr>
              <w:t>151</w:t>
            </w:r>
          </w:p>
        </w:tc>
        <w:tc>
          <w:tcPr>
            <w:tcW w:w="1008" w:type="pct"/>
            <w:tcBorders>
              <w:top w:val="single" w:sz="8" w:space="0" w:color="000000"/>
              <w:left w:val="single" w:sz="8" w:space="0" w:color="000000"/>
            </w:tcBorders>
            <w:vAlign w:val="center"/>
          </w:tcPr>
          <w:p w14:paraId="60777A47" w14:textId="0F422786" w:rsidR="00BB6EE1" w:rsidRPr="00AD08F6" w:rsidRDefault="0002469D" w:rsidP="00BB6EE1">
            <w:pPr>
              <w:pStyle w:val="Nessunaspaziatura"/>
              <w:jc w:val="center"/>
              <w:rPr>
                <w:rFonts w:ascii="Verdana" w:hAnsi="Verdana"/>
              </w:rPr>
            </w:pPr>
            <w:r w:rsidRPr="00AD08F6">
              <w:rPr>
                <w:rFonts w:ascii="Verdana" w:hAnsi="Verdana"/>
              </w:rPr>
              <w:t>153</w:t>
            </w:r>
          </w:p>
        </w:tc>
        <w:tc>
          <w:tcPr>
            <w:tcW w:w="1177" w:type="pct"/>
            <w:tcBorders>
              <w:top w:val="single" w:sz="8" w:space="0" w:color="000000"/>
              <w:left w:val="single" w:sz="8" w:space="0" w:color="000000"/>
              <w:right w:val="single" w:sz="8" w:space="0" w:color="000000"/>
            </w:tcBorders>
            <w:vAlign w:val="center"/>
          </w:tcPr>
          <w:p w14:paraId="629ACF68" w14:textId="71CB95EC" w:rsidR="00BB6EE1" w:rsidRPr="00AD08F6" w:rsidRDefault="0002469D" w:rsidP="00BB6EE1">
            <w:pPr>
              <w:pStyle w:val="Nessunaspaziatura"/>
              <w:jc w:val="center"/>
              <w:rPr>
                <w:rFonts w:ascii="Verdana" w:hAnsi="Verdana"/>
              </w:rPr>
            </w:pPr>
            <w:r w:rsidRPr="00AD08F6">
              <w:rPr>
                <w:rFonts w:ascii="Verdana" w:hAnsi="Verdana"/>
              </w:rPr>
              <w:t>(</w:t>
            </w:r>
            <w:r w:rsidR="00C745CF" w:rsidRPr="00AD08F6">
              <w:rPr>
                <w:rFonts w:ascii="Verdana" w:hAnsi="Verdana"/>
              </w:rPr>
              <w:t>2</w:t>
            </w:r>
            <w:r w:rsidRPr="00AD08F6">
              <w:rPr>
                <w:rFonts w:ascii="Verdana" w:hAnsi="Verdana"/>
              </w:rPr>
              <w:t>)</w:t>
            </w:r>
          </w:p>
        </w:tc>
      </w:tr>
      <w:tr w:rsidR="00BB6EE1" w:rsidRPr="0002469D" w14:paraId="1B90AE9B" w14:textId="77777777" w:rsidTr="000958FD">
        <w:trPr>
          <w:trHeight w:val="567"/>
        </w:trPr>
        <w:tc>
          <w:tcPr>
            <w:tcW w:w="1791" w:type="pct"/>
            <w:tcBorders>
              <w:top w:val="single" w:sz="8" w:space="0" w:color="000000"/>
              <w:left w:val="single" w:sz="8" w:space="0" w:color="000000"/>
              <w:bottom w:val="single" w:sz="8" w:space="0" w:color="000000"/>
            </w:tcBorders>
            <w:vAlign w:val="center"/>
          </w:tcPr>
          <w:p w14:paraId="55B6EF65" w14:textId="77777777" w:rsidR="00BB6EE1" w:rsidRPr="0002469D" w:rsidRDefault="00BB6EE1" w:rsidP="00BB6EE1">
            <w:pPr>
              <w:pStyle w:val="Nessunaspaziatura"/>
              <w:rPr>
                <w:rFonts w:ascii="Verdana" w:hAnsi="Verdana"/>
              </w:rPr>
            </w:pPr>
            <w:r w:rsidRPr="0002469D">
              <w:rPr>
                <w:rFonts w:ascii="Verdana" w:hAnsi="Verdana"/>
              </w:rPr>
              <w:t>PERSONALE AREA RIABILITATIVA</w:t>
            </w:r>
          </w:p>
        </w:tc>
        <w:tc>
          <w:tcPr>
            <w:tcW w:w="1024" w:type="pct"/>
            <w:tcBorders>
              <w:top w:val="single" w:sz="8" w:space="0" w:color="000000"/>
              <w:left w:val="single" w:sz="8" w:space="0" w:color="000000"/>
              <w:bottom w:val="single" w:sz="8" w:space="0" w:color="000000"/>
            </w:tcBorders>
            <w:vAlign w:val="center"/>
          </w:tcPr>
          <w:p w14:paraId="660AE927" w14:textId="1E1F22F0" w:rsidR="00BB6EE1" w:rsidRPr="00AD08F6" w:rsidRDefault="0002469D" w:rsidP="00BB6EE1">
            <w:pPr>
              <w:pStyle w:val="Nessunaspaziatura"/>
              <w:jc w:val="center"/>
              <w:rPr>
                <w:rFonts w:ascii="Verdana" w:hAnsi="Verdana"/>
              </w:rPr>
            </w:pPr>
            <w:r w:rsidRPr="00AD08F6">
              <w:rPr>
                <w:rFonts w:ascii="Verdana" w:hAnsi="Verdana"/>
              </w:rPr>
              <w:t>86</w:t>
            </w:r>
          </w:p>
        </w:tc>
        <w:tc>
          <w:tcPr>
            <w:tcW w:w="1008" w:type="pct"/>
            <w:tcBorders>
              <w:top w:val="single" w:sz="8" w:space="0" w:color="000000"/>
              <w:left w:val="single" w:sz="8" w:space="0" w:color="000000"/>
              <w:bottom w:val="single" w:sz="8" w:space="0" w:color="000000"/>
            </w:tcBorders>
            <w:vAlign w:val="center"/>
          </w:tcPr>
          <w:p w14:paraId="4B9F79D9" w14:textId="10435456" w:rsidR="00BB6EE1" w:rsidRPr="00AD08F6" w:rsidRDefault="0002469D" w:rsidP="00BB6EE1">
            <w:pPr>
              <w:pStyle w:val="Nessunaspaziatura"/>
              <w:jc w:val="center"/>
              <w:rPr>
                <w:rFonts w:ascii="Verdana" w:hAnsi="Verdana"/>
              </w:rPr>
            </w:pPr>
            <w:r w:rsidRPr="00AD08F6">
              <w:rPr>
                <w:rFonts w:ascii="Verdana" w:hAnsi="Verdana"/>
              </w:rPr>
              <w:t>82</w:t>
            </w:r>
          </w:p>
        </w:tc>
        <w:tc>
          <w:tcPr>
            <w:tcW w:w="1177" w:type="pct"/>
            <w:tcBorders>
              <w:top w:val="single" w:sz="8" w:space="0" w:color="000000"/>
              <w:left w:val="single" w:sz="8" w:space="0" w:color="000000"/>
              <w:bottom w:val="single" w:sz="8" w:space="0" w:color="000000"/>
              <w:right w:val="single" w:sz="8" w:space="0" w:color="000000"/>
            </w:tcBorders>
            <w:vAlign w:val="center"/>
          </w:tcPr>
          <w:p w14:paraId="40125D43" w14:textId="7D06A3C8" w:rsidR="00BB6EE1" w:rsidRPr="00AD08F6" w:rsidRDefault="0002469D" w:rsidP="00BB6EE1">
            <w:pPr>
              <w:pStyle w:val="Nessunaspaziatura"/>
              <w:jc w:val="center"/>
              <w:rPr>
                <w:rFonts w:ascii="Verdana" w:hAnsi="Verdana"/>
              </w:rPr>
            </w:pPr>
            <w:r w:rsidRPr="00AD08F6">
              <w:rPr>
                <w:rFonts w:ascii="Verdana" w:hAnsi="Verdana"/>
              </w:rPr>
              <w:t>4</w:t>
            </w:r>
          </w:p>
        </w:tc>
      </w:tr>
      <w:tr w:rsidR="00BB6EE1" w:rsidRPr="0002469D" w14:paraId="645507D0" w14:textId="77777777" w:rsidTr="000958FD">
        <w:trPr>
          <w:trHeight w:val="567"/>
        </w:trPr>
        <w:tc>
          <w:tcPr>
            <w:tcW w:w="1791" w:type="pct"/>
            <w:tcBorders>
              <w:top w:val="single" w:sz="8" w:space="0" w:color="000000"/>
              <w:left w:val="single" w:sz="8" w:space="0" w:color="000000"/>
              <w:bottom w:val="single" w:sz="8" w:space="0" w:color="000000"/>
            </w:tcBorders>
            <w:vAlign w:val="center"/>
          </w:tcPr>
          <w:p w14:paraId="18872CEE" w14:textId="77777777" w:rsidR="00BB6EE1" w:rsidRPr="0002469D" w:rsidRDefault="00BB6EE1" w:rsidP="00BB6EE1">
            <w:pPr>
              <w:pStyle w:val="Nessunaspaziatura"/>
              <w:rPr>
                <w:rFonts w:ascii="Verdana" w:hAnsi="Verdana"/>
              </w:rPr>
            </w:pPr>
            <w:r w:rsidRPr="0002469D">
              <w:rPr>
                <w:rFonts w:ascii="Verdana" w:hAnsi="Verdana"/>
              </w:rPr>
              <w:t>PERSONALE TECNICO</w:t>
            </w:r>
          </w:p>
        </w:tc>
        <w:tc>
          <w:tcPr>
            <w:tcW w:w="1024" w:type="pct"/>
            <w:tcBorders>
              <w:top w:val="single" w:sz="8" w:space="0" w:color="000000"/>
              <w:left w:val="single" w:sz="8" w:space="0" w:color="000000"/>
              <w:bottom w:val="single" w:sz="8" w:space="0" w:color="000000"/>
            </w:tcBorders>
            <w:vAlign w:val="center"/>
          </w:tcPr>
          <w:p w14:paraId="14D357EB" w14:textId="62407A71" w:rsidR="00BB6EE1" w:rsidRPr="00AD08F6" w:rsidRDefault="0002469D" w:rsidP="00BB6EE1">
            <w:pPr>
              <w:pStyle w:val="Nessunaspaziatura"/>
              <w:jc w:val="center"/>
              <w:rPr>
                <w:rFonts w:ascii="Verdana" w:hAnsi="Verdana"/>
              </w:rPr>
            </w:pPr>
            <w:r w:rsidRPr="00AD08F6">
              <w:rPr>
                <w:rFonts w:ascii="Verdana" w:hAnsi="Verdana"/>
              </w:rPr>
              <w:t>129</w:t>
            </w:r>
          </w:p>
        </w:tc>
        <w:tc>
          <w:tcPr>
            <w:tcW w:w="1008" w:type="pct"/>
            <w:tcBorders>
              <w:top w:val="single" w:sz="8" w:space="0" w:color="000000"/>
              <w:left w:val="single" w:sz="8" w:space="0" w:color="000000"/>
              <w:bottom w:val="single" w:sz="8" w:space="0" w:color="000000"/>
            </w:tcBorders>
            <w:vAlign w:val="center"/>
          </w:tcPr>
          <w:p w14:paraId="0AE0815B" w14:textId="246B605D" w:rsidR="00BB6EE1" w:rsidRPr="00AD08F6" w:rsidRDefault="0002469D" w:rsidP="00BB6EE1">
            <w:pPr>
              <w:pStyle w:val="Nessunaspaziatura"/>
              <w:jc w:val="center"/>
              <w:rPr>
                <w:rFonts w:ascii="Verdana" w:hAnsi="Verdana"/>
              </w:rPr>
            </w:pPr>
            <w:r w:rsidRPr="00AD08F6">
              <w:rPr>
                <w:rFonts w:ascii="Verdana" w:hAnsi="Verdana"/>
              </w:rPr>
              <w:t>121</w:t>
            </w:r>
          </w:p>
        </w:tc>
        <w:tc>
          <w:tcPr>
            <w:tcW w:w="1177" w:type="pct"/>
            <w:tcBorders>
              <w:top w:val="single" w:sz="8" w:space="0" w:color="000000"/>
              <w:left w:val="single" w:sz="8" w:space="0" w:color="000000"/>
              <w:bottom w:val="single" w:sz="8" w:space="0" w:color="000000"/>
              <w:right w:val="single" w:sz="8" w:space="0" w:color="000000"/>
            </w:tcBorders>
            <w:vAlign w:val="center"/>
          </w:tcPr>
          <w:p w14:paraId="61CF2F43" w14:textId="02C6266C" w:rsidR="00BB6EE1" w:rsidRPr="00AD08F6" w:rsidRDefault="0002469D" w:rsidP="00BB6EE1">
            <w:pPr>
              <w:pStyle w:val="Nessunaspaziatura"/>
              <w:jc w:val="center"/>
              <w:rPr>
                <w:rFonts w:ascii="Verdana" w:hAnsi="Verdana"/>
              </w:rPr>
            </w:pPr>
            <w:r w:rsidRPr="00AD08F6">
              <w:rPr>
                <w:rFonts w:ascii="Verdana" w:hAnsi="Verdana"/>
              </w:rPr>
              <w:t>8</w:t>
            </w:r>
          </w:p>
        </w:tc>
      </w:tr>
      <w:tr w:rsidR="00BB6EE1" w:rsidRPr="0002469D" w14:paraId="1D7C97E6" w14:textId="77777777" w:rsidTr="000958FD">
        <w:trPr>
          <w:trHeight w:val="567"/>
        </w:trPr>
        <w:tc>
          <w:tcPr>
            <w:tcW w:w="1791" w:type="pct"/>
            <w:tcBorders>
              <w:top w:val="single" w:sz="8" w:space="0" w:color="000000"/>
              <w:left w:val="single" w:sz="8" w:space="0" w:color="000000"/>
              <w:bottom w:val="single" w:sz="8" w:space="0" w:color="000000"/>
            </w:tcBorders>
            <w:vAlign w:val="center"/>
          </w:tcPr>
          <w:p w14:paraId="2D1994AD" w14:textId="77777777" w:rsidR="00BB6EE1" w:rsidRPr="0002469D" w:rsidRDefault="00BB6EE1" w:rsidP="00BB6EE1">
            <w:pPr>
              <w:pStyle w:val="Nessunaspaziatura"/>
              <w:rPr>
                <w:rFonts w:ascii="Verdana" w:hAnsi="Verdana"/>
              </w:rPr>
            </w:pPr>
            <w:r w:rsidRPr="0002469D">
              <w:rPr>
                <w:rFonts w:ascii="Verdana" w:hAnsi="Verdana"/>
              </w:rPr>
              <w:t>PERSONALE AMMINISTRATIVO</w:t>
            </w:r>
          </w:p>
        </w:tc>
        <w:tc>
          <w:tcPr>
            <w:tcW w:w="1024" w:type="pct"/>
            <w:tcBorders>
              <w:top w:val="single" w:sz="8" w:space="0" w:color="000000"/>
              <w:left w:val="single" w:sz="8" w:space="0" w:color="000000"/>
              <w:bottom w:val="single" w:sz="8" w:space="0" w:color="000000"/>
            </w:tcBorders>
            <w:vAlign w:val="center"/>
          </w:tcPr>
          <w:p w14:paraId="496969B8" w14:textId="5A02AEC3" w:rsidR="00BB6EE1" w:rsidRPr="00AD08F6" w:rsidRDefault="0002469D" w:rsidP="00BB6EE1">
            <w:pPr>
              <w:pStyle w:val="Nessunaspaziatura"/>
              <w:jc w:val="center"/>
              <w:rPr>
                <w:rFonts w:ascii="Verdana" w:hAnsi="Verdana"/>
              </w:rPr>
            </w:pPr>
            <w:r w:rsidRPr="00AD08F6">
              <w:rPr>
                <w:rFonts w:ascii="Verdana" w:hAnsi="Verdana"/>
              </w:rPr>
              <w:t>36</w:t>
            </w:r>
          </w:p>
        </w:tc>
        <w:tc>
          <w:tcPr>
            <w:tcW w:w="1008" w:type="pct"/>
            <w:tcBorders>
              <w:top w:val="single" w:sz="8" w:space="0" w:color="000000"/>
              <w:left w:val="single" w:sz="8" w:space="0" w:color="000000"/>
              <w:bottom w:val="single" w:sz="8" w:space="0" w:color="000000"/>
            </w:tcBorders>
            <w:vAlign w:val="center"/>
          </w:tcPr>
          <w:p w14:paraId="6C098C83" w14:textId="47CA3D40" w:rsidR="00BB6EE1" w:rsidRPr="00AD08F6" w:rsidRDefault="0002469D" w:rsidP="00BB6EE1">
            <w:pPr>
              <w:pStyle w:val="Nessunaspaziatura"/>
              <w:jc w:val="center"/>
              <w:rPr>
                <w:rFonts w:ascii="Verdana" w:hAnsi="Verdana"/>
              </w:rPr>
            </w:pPr>
            <w:r w:rsidRPr="00AD08F6">
              <w:rPr>
                <w:rFonts w:ascii="Verdana" w:hAnsi="Verdana"/>
              </w:rPr>
              <w:t>37</w:t>
            </w:r>
          </w:p>
        </w:tc>
        <w:tc>
          <w:tcPr>
            <w:tcW w:w="1177" w:type="pct"/>
            <w:tcBorders>
              <w:top w:val="single" w:sz="8" w:space="0" w:color="000000"/>
              <w:left w:val="single" w:sz="8" w:space="0" w:color="000000"/>
              <w:bottom w:val="single" w:sz="8" w:space="0" w:color="000000"/>
              <w:right w:val="single" w:sz="8" w:space="0" w:color="000000"/>
            </w:tcBorders>
            <w:vAlign w:val="center"/>
          </w:tcPr>
          <w:p w14:paraId="4560612B" w14:textId="6E775156" w:rsidR="00BB6EE1" w:rsidRPr="00AD08F6" w:rsidRDefault="0002469D" w:rsidP="00BB6EE1">
            <w:pPr>
              <w:pStyle w:val="Nessunaspaziatura"/>
              <w:jc w:val="center"/>
              <w:rPr>
                <w:rFonts w:ascii="Verdana" w:hAnsi="Verdana"/>
              </w:rPr>
            </w:pPr>
            <w:r w:rsidRPr="00AD08F6">
              <w:rPr>
                <w:rFonts w:ascii="Verdana" w:hAnsi="Verdana"/>
              </w:rPr>
              <w:t>(1)</w:t>
            </w:r>
          </w:p>
        </w:tc>
      </w:tr>
      <w:tr w:rsidR="00BB6EE1" w:rsidRPr="0037751A" w14:paraId="165AC8FA" w14:textId="77777777" w:rsidTr="001B4ADF">
        <w:trPr>
          <w:trHeight w:val="567"/>
        </w:trPr>
        <w:tc>
          <w:tcPr>
            <w:tcW w:w="1791" w:type="pct"/>
            <w:tcBorders>
              <w:top w:val="single" w:sz="8" w:space="0" w:color="000000"/>
              <w:left w:val="single" w:sz="8" w:space="0" w:color="000000"/>
              <w:bottom w:val="single" w:sz="8" w:space="0" w:color="000000"/>
            </w:tcBorders>
            <w:shd w:val="clear" w:color="auto" w:fill="F2F2F2"/>
            <w:vAlign w:val="center"/>
          </w:tcPr>
          <w:p w14:paraId="4FDC0DE6" w14:textId="77777777" w:rsidR="00BB6EE1" w:rsidRPr="0002469D" w:rsidRDefault="00BB6EE1" w:rsidP="00BB6EE1">
            <w:pPr>
              <w:pStyle w:val="Nessunaspaziatura"/>
              <w:rPr>
                <w:rFonts w:ascii="Verdana" w:hAnsi="Verdana"/>
                <w:b/>
                <w:bCs/>
              </w:rPr>
            </w:pPr>
            <w:r w:rsidRPr="0002469D">
              <w:rPr>
                <w:rFonts w:ascii="Verdana" w:hAnsi="Verdana"/>
                <w:b/>
                <w:bCs/>
              </w:rPr>
              <w:t xml:space="preserve">TOTALE </w:t>
            </w:r>
          </w:p>
        </w:tc>
        <w:tc>
          <w:tcPr>
            <w:tcW w:w="1024" w:type="pct"/>
            <w:tcBorders>
              <w:top w:val="single" w:sz="8" w:space="0" w:color="000000"/>
              <w:left w:val="single" w:sz="8" w:space="0" w:color="000000"/>
              <w:bottom w:val="single" w:sz="8" w:space="0" w:color="000000"/>
            </w:tcBorders>
            <w:shd w:val="clear" w:color="auto" w:fill="F2F2F2"/>
            <w:vAlign w:val="center"/>
          </w:tcPr>
          <w:p w14:paraId="480E0500" w14:textId="7A301184" w:rsidR="00BB6EE1" w:rsidRPr="00AD08F6" w:rsidRDefault="0002469D" w:rsidP="00BB6EE1">
            <w:pPr>
              <w:pStyle w:val="Nessunaspaziatura"/>
              <w:jc w:val="center"/>
              <w:rPr>
                <w:rFonts w:ascii="Verdana" w:hAnsi="Verdana"/>
                <w:b/>
                <w:bCs/>
              </w:rPr>
            </w:pPr>
            <w:r w:rsidRPr="00AD08F6">
              <w:rPr>
                <w:rFonts w:ascii="Verdana" w:hAnsi="Verdana"/>
                <w:b/>
                <w:bCs/>
              </w:rPr>
              <w:t>44</w:t>
            </w:r>
            <w:r w:rsidR="00C745CF" w:rsidRPr="00AD08F6">
              <w:rPr>
                <w:rFonts w:ascii="Verdana" w:hAnsi="Verdana"/>
                <w:b/>
                <w:bCs/>
              </w:rPr>
              <w:t>5</w:t>
            </w:r>
          </w:p>
        </w:tc>
        <w:tc>
          <w:tcPr>
            <w:tcW w:w="1008" w:type="pct"/>
            <w:tcBorders>
              <w:top w:val="single" w:sz="8" w:space="0" w:color="000000"/>
              <w:left w:val="single" w:sz="8" w:space="0" w:color="000000"/>
              <w:bottom w:val="single" w:sz="8" w:space="0" w:color="000000"/>
            </w:tcBorders>
            <w:shd w:val="clear" w:color="auto" w:fill="F2F2F2"/>
            <w:vAlign w:val="center"/>
          </w:tcPr>
          <w:p w14:paraId="5CE29FAC" w14:textId="46D1E6AD" w:rsidR="00BB6EE1" w:rsidRPr="00AD08F6" w:rsidRDefault="0002469D" w:rsidP="00BB6EE1">
            <w:pPr>
              <w:pStyle w:val="Nessunaspaziatura"/>
              <w:jc w:val="center"/>
              <w:rPr>
                <w:rFonts w:ascii="Verdana" w:hAnsi="Verdana"/>
                <w:b/>
                <w:bCs/>
              </w:rPr>
            </w:pPr>
            <w:r w:rsidRPr="00AD08F6">
              <w:rPr>
                <w:rFonts w:ascii="Verdana" w:hAnsi="Verdana"/>
                <w:b/>
                <w:bCs/>
              </w:rPr>
              <w:t>432</w:t>
            </w:r>
          </w:p>
        </w:tc>
        <w:tc>
          <w:tcPr>
            <w:tcW w:w="1177"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7D147F0B" w14:textId="70CA5C45" w:rsidR="00BB6EE1" w:rsidRPr="00AD08F6" w:rsidRDefault="0002469D" w:rsidP="00BB6EE1">
            <w:pPr>
              <w:pStyle w:val="Nessunaspaziatura"/>
              <w:jc w:val="center"/>
              <w:rPr>
                <w:rFonts w:ascii="Verdana" w:hAnsi="Verdana"/>
                <w:b/>
                <w:bCs/>
              </w:rPr>
            </w:pPr>
            <w:r w:rsidRPr="00AD08F6">
              <w:rPr>
                <w:rFonts w:ascii="Verdana" w:hAnsi="Verdana"/>
                <w:b/>
                <w:bCs/>
              </w:rPr>
              <w:t>1</w:t>
            </w:r>
            <w:r w:rsidR="00C745CF" w:rsidRPr="00AD08F6">
              <w:rPr>
                <w:rFonts w:ascii="Verdana" w:hAnsi="Verdana"/>
                <w:b/>
                <w:bCs/>
              </w:rPr>
              <w:t>3</w:t>
            </w:r>
          </w:p>
        </w:tc>
      </w:tr>
      <w:bookmarkEnd w:id="14"/>
    </w:tbl>
    <w:p w14:paraId="33DCDB97" w14:textId="77777777" w:rsidR="00EB2BF8" w:rsidRDefault="00EB2BF8">
      <w:pPr>
        <w:spacing w:after="30" w:line="240" w:lineRule="auto"/>
        <w:jc w:val="both"/>
        <w:rPr>
          <w:rFonts w:ascii="Verdana" w:hAnsi="Verdana"/>
          <w:sz w:val="21"/>
          <w:szCs w:val="21"/>
        </w:rPr>
      </w:pPr>
    </w:p>
    <w:p w14:paraId="3AE0EF3F" w14:textId="52839F59" w:rsidR="00397C82" w:rsidRPr="00312D47" w:rsidRDefault="00DC28D5">
      <w:pPr>
        <w:spacing w:after="30" w:line="240" w:lineRule="auto"/>
        <w:jc w:val="both"/>
        <w:rPr>
          <w:rFonts w:ascii="Verdana" w:hAnsi="Verdana"/>
          <w:sz w:val="21"/>
          <w:szCs w:val="21"/>
        </w:rPr>
      </w:pPr>
      <w:r w:rsidRPr="00CB08F1">
        <w:rPr>
          <w:rFonts w:ascii="Verdana" w:hAnsi="Verdana"/>
          <w:sz w:val="21"/>
          <w:szCs w:val="21"/>
        </w:rPr>
        <w:t xml:space="preserve">MRI, pur essendo un Ospedale </w:t>
      </w:r>
      <w:r w:rsidRPr="00BF7D4E">
        <w:rPr>
          <w:rFonts w:ascii="Verdana" w:hAnsi="Verdana"/>
          <w:sz w:val="21"/>
          <w:szCs w:val="21"/>
        </w:rPr>
        <w:t xml:space="preserve">di </w:t>
      </w:r>
      <w:r w:rsidR="00115D78" w:rsidRPr="00BF7D4E">
        <w:rPr>
          <w:rFonts w:ascii="Verdana" w:hAnsi="Verdana"/>
          <w:sz w:val="21"/>
          <w:szCs w:val="21"/>
        </w:rPr>
        <w:t xml:space="preserve">media </w:t>
      </w:r>
      <w:r w:rsidRPr="00BF7D4E">
        <w:rPr>
          <w:rFonts w:ascii="Verdana" w:hAnsi="Verdana"/>
          <w:sz w:val="21"/>
          <w:szCs w:val="21"/>
        </w:rPr>
        <w:t>dimension</w:t>
      </w:r>
      <w:r w:rsidR="00A87AF1" w:rsidRPr="00BF7D4E">
        <w:rPr>
          <w:rFonts w:ascii="Verdana" w:hAnsi="Verdana"/>
          <w:sz w:val="21"/>
          <w:szCs w:val="21"/>
        </w:rPr>
        <w:t>e</w:t>
      </w:r>
      <w:r w:rsidR="00115D78" w:rsidRPr="00BF7D4E">
        <w:rPr>
          <w:rFonts w:ascii="Verdana" w:hAnsi="Verdana"/>
          <w:sz w:val="21"/>
          <w:szCs w:val="21"/>
        </w:rPr>
        <w:t xml:space="preserve"> in quanto a fatturato</w:t>
      </w:r>
      <w:r w:rsidRPr="00312D47">
        <w:rPr>
          <w:rFonts w:ascii="Verdana" w:hAnsi="Verdana"/>
          <w:sz w:val="21"/>
          <w:szCs w:val="21"/>
        </w:rPr>
        <w:t xml:space="preserve">, che assume la responsabilità di cura, ricerca e formazione in ambito riabilitativo nel campo specifico delle lesioni midollari e delle gravi cerebro lesioni acquisite, è </w:t>
      </w:r>
      <w:r w:rsidR="00BE7101" w:rsidRPr="00312D47">
        <w:rPr>
          <w:rFonts w:ascii="Verdana" w:hAnsi="Verdana"/>
          <w:sz w:val="21"/>
          <w:szCs w:val="21"/>
        </w:rPr>
        <w:t xml:space="preserve">impegnato </w:t>
      </w:r>
      <w:r w:rsidRPr="00312D47">
        <w:rPr>
          <w:rFonts w:ascii="Verdana" w:hAnsi="Verdana"/>
          <w:sz w:val="21"/>
          <w:szCs w:val="21"/>
        </w:rPr>
        <w:t xml:space="preserve">a governare tutte le tematiche proprie di una azienda sanitaria pubblica e </w:t>
      </w:r>
      <w:r w:rsidR="006B4580" w:rsidRPr="00312D47">
        <w:rPr>
          <w:rFonts w:ascii="Verdana" w:hAnsi="Verdana"/>
          <w:sz w:val="21"/>
          <w:szCs w:val="21"/>
        </w:rPr>
        <w:t xml:space="preserve">ad </w:t>
      </w:r>
      <w:r w:rsidRPr="00312D47">
        <w:rPr>
          <w:rFonts w:ascii="Verdana" w:hAnsi="Verdana"/>
          <w:sz w:val="21"/>
          <w:szCs w:val="21"/>
        </w:rPr>
        <w:t xml:space="preserve">adempiere e applicare la complessa normativa, oltre a quella tipica delle Spa partecipate pubbliche. </w:t>
      </w:r>
    </w:p>
    <w:p w14:paraId="624710FC" w14:textId="77777777" w:rsidR="00BA07AF" w:rsidRPr="00312D47" w:rsidRDefault="00BA07AF">
      <w:pPr>
        <w:spacing w:after="30" w:line="240" w:lineRule="auto"/>
        <w:jc w:val="both"/>
        <w:rPr>
          <w:rFonts w:ascii="Verdana" w:hAnsi="Verdana"/>
          <w:sz w:val="21"/>
          <w:szCs w:val="21"/>
        </w:rPr>
      </w:pPr>
    </w:p>
    <w:p w14:paraId="5B63903A" w14:textId="77777777" w:rsidR="00DC28D5" w:rsidRDefault="00DC28D5">
      <w:pPr>
        <w:spacing w:after="30" w:line="240" w:lineRule="auto"/>
        <w:jc w:val="both"/>
        <w:rPr>
          <w:rFonts w:ascii="Verdana" w:hAnsi="Verdana"/>
          <w:sz w:val="21"/>
          <w:szCs w:val="21"/>
        </w:rPr>
      </w:pPr>
      <w:r w:rsidRPr="00312D47">
        <w:rPr>
          <w:rFonts w:ascii="Verdana" w:hAnsi="Verdana"/>
          <w:sz w:val="21"/>
          <w:szCs w:val="21"/>
        </w:rPr>
        <w:t>Nell’ordine</w:t>
      </w:r>
      <w:r w:rsidR="00523F7C" w:rsidRPr="00312D47">
        <w:rPr>
          <w:rFonts w:ascii="Verdana" w:hAnsi="Verdana"/>
          <w:sz w:val="21"/>
          <w:szCs w:val="21"/>
        </w:rPr>
        <w:t xml:space="preserve"> le aree di intervento riguardano</w:t>
      </w:r>
      <w:r w:rsidRPr="00312D47">
        <w:rPr>
          <w:rFonts w:ascii="Verdana" w:hAnsi="Verdana"/>
          <w:sz w:val="21"/>
          <w:szCs w:val="21"/>
        </w:rPr>
        <w:t>:</w:t>
      </w:r>
      <w:r w:rsidRPr="00CB08F1">
        <w:rPr>
          <w:rFonts w:ascii="Verdana" w:hAnsi="Verdana"/>
          <w:sz w:val="21"/>
          <w:szCs w:val="21"/>
        </w:rPr>
        <w:t xml:space="preserve"> i) capacità di cura e presa in carico della popolazione di riferimento, ii) capacità di attrarre finanziamenti e di contenimento della spesa, iii) capacità di condurre processi di selezione di fornitori per opere, beni e servizi, selezione di figure professionali qualificate, iv) capacità di innovare e di generare risultati in termini di produzione scientifica, v) capacità di recepire e introdurre nei propri processi organizzativi le novità legislative nelle aree sopra menzionate, vi) capacità di percorrere vie di alta qualifica professionale orientate all’eccellenza e al confronto con strutture analoghe a livello nazionale ed internazionale.</w:t>
      </w:r>
    </w:p>
    <w:p w14:paraId="56F60657" w14:textId="77777777" w:rsidR="002E730C" w:rsidRDefault="002E730C">
      <w:pPr>
        <w:spacing w:after="30" w:line="240" w:lineRule="auto"/>
        <w:jc w:val="both"/>
        <w:rPr>
          <w:rFonts w:ascii="Verdana" w:hAnsi="Verdana"/>
          <w:sz w:val="21"/>
          <w:szCs w:val="21"/>
        </w:rPr>
      </w:pPr>
    </w:p>
    <w:p w14:paraId="586ADDC3" w14:textId="28BC32CF" w:rsidR="00DC28D5" w:rsidRPr="00CB08F1" w:rsidRDefault="000E16FE">
      <w:pPr>
        <w:spacing w:after="30" w:line="240" w:lineRule="auto"/>
        <w:jc w:val="both"/>
        <w:rPr>
          <w:rFonts w:ascii="Verdana" w:hAnsi="Verdana"/>
          <w:sz w:val="21"/>
          <w:szCs w:val="21"/>
        </w:rPr>
      </w:pPr>
      <w:r w:rsidRPr="00CB08F1">
        <w:rPr>
          <w:rFonts w:ascii="Verdana" w:hAnsi="Verdana"/>
          <w:sz w:val="21"/>
          <w:szCs w:val="21"/>
        </w:rPr>
        <w:t>Il numero esiguo</w:t>
      </w:r>
      <w:r w:rsidR="00DC28D5" w:rsidRPr="00CB08F1">
        <w:rPr>
          <w:rFonts w:ascii="Verdana" w:hAnsi="Verdana"/>
          <w:sz w:val="21"/>
          <w:szCs w:val="21"/>
        </w:rPr>
        <w:t xml:space="preserve"> </w:t>
      </w:r>
      <w:r w:rsidR="000423AF" w:rsidRPr="00CB08F1">
        <w:rPr>
          <w:rFonts w:ascii="Verdana" w:hAnsi="Verdana"/>
          <w:sz w:val="21"/>
          <w:szCs w:val="21"/>
        </w:rPr>
        <w:t>d</w:t>
      </w:r>
      <w:r w:rsidRPr="00CB08F1">
        <w:rPr>
          <w:rFonts w:ascii="Verdana" w:hAnsi="Verdana"/>
          <w:sz w:val="21"/>
          <w:szCs w:val="21"/>
        </w:rPr>
        <w:t>i</w:t>
      </w:r>
      <w:r w:rsidR="000423AF" w:rsidRPr="00CB08F1">
        <w:rPr>
          <w:rFonts w:ascii="Verdana" w:hAnsi="Verdana"/>
          <w:sz w:val="21"/>
          <w:szCs w:val="21"/>
        </w:rPr>
        <w:t xml:space="preserve"> personale amministrativo</w:t>
      </w:r>
      <w:r w:rsidR="00DC28D5" w:rsidRPr="00CB08F1">
        <w:rPr>
          <w:rFonts w:ascii="Verdana" w:hAnsi="Verdana"/>
          <w:sz w:val="21"/>
          <w:szCs w:val="21"/>
        </w:rPr>
        <w:t>, obbligat</w:t>
      </w:r>
      <w:r w:rsidRPr="00CB08F1">
        <w:rPr>
          <w:rFonts w:ascii="Verdana" w:hAnsi="Verdana"/>
          <w:sz w:val="21"/>
          <w:szCs w:val="21"/>
        </w:rPr>
        <w:t>o</w:t>
      </w:r>
      <w:r w:rsidR="00DC28D5" w:rsidRPr="00CB08F1">
        <w:rPr>
          <w:rFonts w:ascii="Verdana" w:hAnsi="Verdana"/>
          <w:sz w:val="21"/>
          <w:szCs w:val="21"/>
        </w:rPr>
        <w:t xml:space="preserve"> dalle </w:t>
      </w:r>
      <w:r w:rsidR="00DC28D5" w:rsidRPr="00BF7D4E">
        <w:rPr>
          <w:rFonts w:ascii="Verdana" w:hAnsi="Verdana"/>
          <w:sz w:val="21"/>
          <w:szCs w:val="21"/>
        </w:rPr>
        <w:t xml:space="preserve">relativamente </w:t>
      </w:r>
      <w:r w:rsidR="0037034C" w:rsidRPr="00BF7D4E">
        <w:rPr>
          <w:rFonts w:ascii="Verdana" w:hAnsi="Verdana"/>
          <w:sz w:val="21"/>
          <w:szCs w:val="21"/>
        </w:rPr>
        <w:t xml:space="preserve">ridotte </w:t>
      </w:r>
      <w:r w:rsidR="00DC28D5" w:rsidRPr="00CB08F1">
        <w:rPr>
          <w:rFonts w:ascii="Verdana" w:hAnsi="Verdana"/>
          <w:sz w:val="21"/>
          <w:szCs w:val="21"/>
        </w:rPr>
        <w:t xml:space="preserve">dimensioni dell’Ospedale (diseconomie di scala), se da un lato favorisce una buona possibilità di dialogo e confronto, dall’altro lato obbliga gli impiegati all’acquisizione, in genere nel breve periodo, di conoscenze e competenze in settori specifici o nuove aree di interesse, e alla gestione di sovraccarichi di attività. </w:t>
      </w:r>
      <w:r w:rsidR="006B4580" w:rsidRPr="00CB08F1">
        <w:rPr>
          <w:rFonts w:ascii="Verdana" w:hAnsi="Verdana"/>
          <w:sz w:val="21"/>
          <w:szCs w:val="21"/>
        </w:rPr>
        <w:t>Inoltre, all’area tecnico-amministrativa è assegnato</w:t>
      </w:r>
      <w:r w:rsidR="00DC28D5" w:rsidRPr="00CB08F1">
        <w:rPr>
          <w:rFonts w:ascii="Verdana" w:hAnsi="Verdana"/>
          <w:sz w:val="21"/>
          <w:szCs w:val="21"/>
        </w:rPr>
        <w:t xml:space="preserve"> un numero significativo </w:t>
      </w:r>
      <w:r w:rsidR="00C175C7" w:rsidRPr="00CB08F1">
        <w:rPr>
          <w:rFonts w:ascii="Verdana" w:hAnsi="Verdana"/>
          <w:sz w:val="21"/>
          <w:szCs w:val="21"/>
        </w:rPr>
        <w:t xml:space="preserve">e crescente </w:t>
      </w:r>
      <w:r w:rsidR="00DC28D5" w:rsidRPr="00CB08F1">
        <w:rPr>
          <w:rFonts w:ascii="Verdana" w:hAnsi="Verdana"/>
          <w:sz w:val="21"/>
          <w:szCs w:val="21"/>
        </w:rPr>
        <w:t xml:space="preserve">di operatori che non sono stati assunti </w:t>
      </w:r>
      <w:r w:rsidR="00C175C7" w:rsidRPr="00CB08F1">
        <w:rPr>
          <w:rFonts w:ascii="Verdana" w:hAnsi="Verdana"/>
          <w:sz w:val="21"/>
          <w:szCs w:val="21"/>
        </w:rPr>
        <w:t>con qualifica</w:t>
      </w:r>
      <w:r w:rsidR="00DC28D5" w:rsidRPr="00CB08F1">
        <w:rPr>
          <w:rFonts w:ascii="Verdana" w:hAnsi="Verdana"/>
          <w:sz w:val="21"/>
          <w:szCs w:val="21"/>
        </w:rPr>
        <w:t xml:space="preserve"> amministrativ</w:t>
      </w:r>
      <w:r w:rsidR="00C175C7" w:rsidRPr="00CB08F1">
        <w:rPr>
          <w:rFonts w:ascii="Verdana" w:hAnsi="Verdana"/>
          <w:sz w:val="21"/>
          <w:szCs w:val="21"/>
        </w:rPr>
        <w:t>a</w:t>
      </w:r>
      <w:r w:rsidR="00DC28D5" w:rsidRPr="00CB08F1">
        <w:rPr>
          <w:rFonts w:ascii="Verdana" w:hAnsi="Verdana"/>
          <w:sz w:val="21"/>
          <w:szCs w:val="21"/>
        </w:rPr>
        <w:t>, ma come operatori sanitari destinati poi</w:t>
      </w:r>
      <w:r w:rsidR="00384D1A" w:rsidRPr="00CB08F1">
        <w:rPr>
          <w:rFonts w:ascii="Verdana" w:hAnsi="Verdana"/>
          <w:sz w:val="21"/>
          <w:szCs w:val="21"/>
        </w:rPr>
        <w:t xml:space="preserve"> </w:t>
      </w:r>
      <w:r w:rsidR="00C175C7" w:rsidRPr="00CB08F1">
        <w:rPr>
          <w:rFonts w:ascii="Verdana" w:hAnsi="Verdana"/>
          <w:sz w:val="21"/>
          <w:szCs w:val="21"/>
        </w:rPr>
        <w:t>a mansioni</w:t>
      </w:r>
      <w:r w:rsidR="00DC28D5" w:rsidRPr="00CB08F1">
        <w:rPr>
          <w:rFonts w:ascii="Verdana" w:hAnsi="Verdana"/>
          <w:sz w:val="21"/>
          <w:szCs w:val="21"/>
        </w:rPr>
        <w:t xml:space="preserve"> amministrativ</w:t>
      </w:r>
      <w:r w:rsidR="00C175C7" w:rsidRPr="00CB08F1">
        <w:rPr>
          <w:rFonts w:ascii="Verdana" w:hAnsi="Verdana"/>
          <w:sz w:val="21"/>
          <w:szCs w:val="21"/>
        </w:rPr>
        <w:t>e</w:t>
      </w:r>
      <w:r w:rsidR="00DC28D5" w:rsidRPr="00CB08F1">
        <w:rPr>
          <w:rFonts w:ascii="Verdana" w:hAnsi="Verdana"/>
          <w:sz w:val="21"/>
          <w:szCs w:val="21"/>
        </w:rPr>
        <w:t xml:space="preserve"> per sopraggiunte problematiche di salute che impediscono il lavoro in ambito sanitario </w:t>
      </w:r>
      <w:r w:rsidR="00C175C7" w:rsidRPr="00CB08F1">
        <w:rPr>
          <w:rFonts w:ascii="Verdana" w:hAnsi="Verdana"/>
          <w:sz w:val="21"/>
          <w:szCs w:val="21"/>
        </w:rPr>
        <w:t xml:space="preserve">nel ruolo </w:t>
      </w:r>
      <w:r w:rsidR="00DC28D5" w:rsidRPr="00CB08F1">
        <w:rPr>
          <w:rFonts w:ascii="Verdana" w:hAnsi="Verdana"/>
          <w:sz w:val="21"/>
          <w:szCs w:val="21"/>
        </w:rPr>
        <w:t>propri</w:t>
      </w:r>
      <w:r w:rsidR="00C175C7" w:rsidRPr="00CB08F1">
        <w:rPr>
          <w:rFonts w:ascii="Verdana" w:hAnsi="Verdana"/>
          <w:sz w:val="21"/>
          <w:szCs w:val="21"/>
        </w:rPr>
        <w:t>o</w:t>
      </w:r>
      <w:r w:rsidR="00DC28D5" w:rsidRPr="00CB08F1">
        <w:rPr>
          <w:rFonts w:ascii="Verdana" w:hAnsi="Verdana"/>
          <w:sz w:val="21"/>
          <w:szCs w:val="21"/>
        </w:rPr>
        <w:t xml:space="preserve"> della qualifica</w:t>
      </w:r>
      <w:r w:rsidR="00DF03B9" w:rsidRPr="00CB08F1">
        <w:rPr>
          <w:rFonts w:ascii="Verdana" w:hAnsi="Verdana"/>
          <w:sz w:val="21"/>
          <w:szCs w:val="21"/>
        </w:rPr>
        <w:t>. Per alcune di queste unità sono stati consensualmente anche trasformati i relativi contratti di lavoro con assegnazione definitiva del profilo amministrativo.</w:t>
      </w:r>
      <w:r w:rsidR="00DC28D5" w:rsidRPr="00CB08F1">
        <w:rPr>
          <w:rFonts w:ascii="Verdana" w:hAnsi="Verdana"/>
          <w:sz w:val="21"/>
          <w:szCs w:val="21"/>
        </w:rPr>
        <w:t xml:space="preserve"> </w:t>
      </w:r>
    </w:p>
    <w:p w14:paraId="16CA64D3" w14:textId="77777777" w:rsidR="00DC28D5" w:rsidRPr="00CB08F1" w:rsidRDefault="00DC28D5">
      <w:pPr>
        <w:spacing w:after="30" w:line="240" w:lineRule="auto"/>
        <w:jc w:val="both"/>
        <w:rPr>
          <w:rFonts w:ascii="Verdana" w:hAnsi="Verdana"/>
          <w:sz w:val="21"/>
          <w:szCs w:val="21"/>
        </w:rPr>
      </w:pPr>
      <w:r w:rsidRPr="00CB08F1">
        <w:rPr>
          <w:rFonts w:ascii="Verdana" w:hAnsi="Verdana"/>
          <w:sz w:val="21"/>
          <w:szCs w:val="21"/>
        </w:rPr>
        <w:t>Non esistono dirigenti nell’area</w:t>
      </w:r>
      <w:r w:rsidR="00E402EB" w:rsidRPr="00CB08F1">
        <w:rPr>
          <w:rFonts w:ascii="Verdana" w:hAnsi="Verdana"/>
          <w:sz w:val="21"/>
          <w:szCs w:val="21"/>
        </w:rPr>
        <w:t xml:space="preserve"> tecnico-</w:t>
      </w:r>
      <w:r w:rsidRPr="00CB08F1">
        <w:rPr>
          <w:rFonts w:ascii="Verdana" w:hAnsi="Verdana"/>
          <w:sz w:val="21"/>
          <w:szCs w:val="21"/>
        </w:rPr>
        <w:t xml:space="preserve">amministrativa; nella dinamica descritta, le figure titolari di posizione organizzativa risultano “responsabili” e competenti in settori complessi, aggreganti funzioni e dinamiche di diversa natura, difficilmente intercambiabili nei ruoli. Talvolta risulta inevitabile la necessità di valutare, anche in assenza di congrua pianificazione, l’affidamento di incarichi professionali di consulenza a figure “esperte” in grado di affiancare e supportare i cambiamenti, pena il non rispetto della normativa vigente o il rischio di </w:t>
      </w:r>
      <w:r w:rsidRPr="00CB08F1">
        <w:rPr>
          <w:rFonts w:ascii="Verdana" w:hAnsi="Verdana"/>
          <w:i/>
          <w:sz w:val="21"/>
          <w:szCs w:val="21"/>
        </w:rPr>
        <w:t>malpractice</w:t>
      </w:r>
      <w:r w:rsidRPr="00CB08F1">
        <w:rPr>
          <w:rFonts w:ascii="Verdana" w:hAnsi="Verdana"/>
          <w:sz w:val="21"/>
          <w:szCs w:val="21"/>
        </w:rPr>
        <w:t xml:space="preserve"> amministrativa. </w:t>
      </w:r>
    </w:p>
    <w:p w14:paraId="6D8AA41A" w14:textId="77777777" w:rsidR="00BA07AF" w:rsidRDefault="00BA07AF">
      <w:pPr>
        <w:spacing w:after="30" w:line="240" w:lineRule="auto"/>
        <w:jc w:val="both"/>
        <w:rPr>
          <w:rFonts w:ascii="Verdana" w:hAnsi="Verdana"/>
          <w:sz w:val="21"/>
          <w:szCs w:val="21"/>
        </w:rPr>
      </w:pPr>
    </w:p>
    <w:p w14:paraId="6BD5ACB7" w14:textId="6609D9AB" w:rsidR="00DC28D5" w:rsidRPr="0037034C" w:rsidRDefault="00DC28D5">
      <w:pPr>
        <w:spacing w:after="30" w:line="240" w:lineRule="auto"/>
        <w:jc w:val="both"/>
        <w:rPr>
          <w:rFonts w:ascii="Verdana" w:hAnsi="Verdana"/>
          <w:strike/>
          <w:color w:val="EE0000"/>
          <w:sz w:val="21"/>
          <w:szCs w:val="21"/>
        </w:rPr>
      </w:pPr>
      <w:r w:rsidRPr="00CB08F1">
        <w:rPr>
          <w:rFonts w:ascii="Verdana" w:hAnsi="Verdana"/>
          <w:sz w:val="21"/>
          <w:szCs w:val="21"/>
        </w:rPr>
        <w:t xml:space="preserve">Per quanto riguarda il personale </w:t>
      </w:r>
      <w:r w:rsidRPr="00BF7D4E">
        <w:rPr>
          <w:rFonts w:ascii="Verdana" w:hAnsi="Verdana"/>
          <w:sz w:val="21"/>
          <w:szCs w:val="21"/>
        </w:rPr>
        <w:t xml:space="preserve">sanitario, il rischio maggiore deriva dalla </w:t>
      </w:r>
      <w:r w:rsidR="0098537C" w:rsidRPr="00BF7D4E">
        <w:rPr>
          <w:rFonts w:ascii="Verdana" w:hAnsi="Verdana"/>
          <w:sz w:val="21"/>
          <w:szCs w:val="21"/>
        </w:rPr>
        <w:t>scarsità</w:t>
      </w:r>
      <w:r w:rsidR="009B3DAB" w:rsidRPr="00BF7D4E">
        <w:rPr>
          <w:rFonts w:ascii="Verdana" w:hAnsi="Verdana"/>
          <w:sz w:val="21"/>
          <w:szCs w:val="21"/>
        </w:rPr>
        <w:t xml:space="preserve"> di personale sanitario qualificato</w:t>
      </w:r>
      <w:r w:rsidR="0098537C" w:rsidRPr="00BF7D4E">
        <w:rPr>
          <w:rFonts w:ascii="Verdana" w:hAnsi="Verdana"/>
          <w:sz w:val="21"/>
          <w:szCs w:val="21"/>
        </w:rPr>
        <w:t xml:space="preserve"> disponibile</w:t>
      </w:r>
      <w:r w:rsidR="0037034C" w:rsidRPr="00BF7D4E">
        <w:rPr>
          <w:rFonts w:ascii="Verdana" w:hAnsi="Verdana"/>
          <w:sz w:val="21"/>
          <w:szCs w:val="21"/>
        </w:rPr>
        <w:t xml:space="preserve"> sul mercato nazionale</w:t>
      </w:r>
      <w:r w:rsidR="009B3DAB" w:rsidRPr="00BF7D4E">
        <w:rPr>
          <w:rFonts w:ascii="Verdana" w:hAnsi="Verdana"/>
          <w:sz w:val="21"/>
          <w:szCs w:val="21"/>
        </w:rPr>
        <w:t>.</w:t>
      </w:r>
      <w:r w:rsidR="003669AD" w:rsidRPr="00BF7D4E">
        <w:rPr>
          <w:rFonts w:ascii="Verdana" w:hAnsi="Verdana"/>
          <w:sz w:val="21"/>
          <w:szCs w:val="21"/>
        </w:rPr>
        <w:t xml:space="preserve"> Nel corso del 2025, aderendo a una proposta condivisa da altre aziende sanitarie della regione, sono stati attivati percorsi finalizzati ad integrare personale infermieristico </w:t>
      </w:r>
      <w:r w:rsidR="0037034C" w:rsidRPr="00BF7D4E">
        <w:rPr>
          <w:rFonts w:ascii="Verdana" w:hAnsi="Verdana"/>
          <w:sz w:val="21"/>
          <w:szCs w:val="21"/>
        </w:rPr>
        <w:t xml:space="preserve">con progetti di cross </w:t>
      </w:r>
      <w:proofErr w:type="spellStart"/>
      <w:r w:rsidR="0037034C" w:rsidRPr="00BF7D4E">
        <w:rPr>
          <w:rFonts w:ascii="Verdana" w:hAnsi="Verdana"/>
          <w:sz w:val="21"/>
          <w:szCs w:val="21"/>
        </w:rPr>
        <w:t>boarding</w:t>
      </w:r>
      <w:proofErr w:type="spellEnd"/>
      <w:r w:rsidR="0037034C" w:rsidRPr="00BF7D4E">
        <w:rPr>
          <w:rFonts w:ascii="Verdana" w:hAnsi="Verdana"/>
          <w:sz w:val="21"/>
          <w:szCs w:val="21"/>
        </w:rPr>
        <w:t>.</w:t>
      </w:r>
    </w:p>
    <w:p w14:paraId="7F4FC96F" w14:textId="77777777" w:rsidR="00A872EB" w:rsidRPr="006576C3" w:rsidRDefault="00A872EB">
      <w:pPr>
        <w:spacing w:after="30" w:line="240" w:lineRule="auto"/>
        <w:jc w:val="both"/>
        <w:rPr>
          <w:rFonts w:ascii="Verdana" w:hAnsi="Verdana"/>
          <w:color w:val="EE0000"/>
          <w:sz w:val="21"/>
          <w:szCs w:val="21"/>
        </w:rPr>
      </w:pPr>
    </w:p>
    <w:p w14:paraId="32EFA953" w14:textId="77777777" w:rsidR="00BA07AF" w:rsidRPr="00F75E8E" w:rsidRDefault="00BA07AF">
      <w:pPr>
        <w:spacing w:after="30" w:line="240" w:lineRule="auto"/>
        <w:jc w:val="both"/>
        <w:rPr>
          <w:rFonts w:ascii="Verdana" w:hAnsi="Verdana"/>
          <w:sz w:val="21"/>
          <w:szCs w:val="21"/>
        </w:rPr>
      </w:pPr>
    </w:p>
    <w:p w14:paraId="2F3FB4B0" w14:textId="77777777" w:rsidR="00DC28D5" w:rsidRPr="00D82DC3" w:rsidRDefault="00DC28D5" w:rsidP="00D82DC3">
      <w:pPr>
        <w:pStyle w:val="Titolo2"/>
      </w:pPr>
      <w:bookmarkStart w:id="15" w:name="_Toc225863534"/>
      <w:r w:rsidRPr="00D82DC3">
        <w:t>G.4 ASSETTO ORGANIZZATIVO INTERNO E PRINCIPALI CARATTERISTICHE</w:t>
      </w:r>
      <w:bookmarkEnd w:id="15"/>
    </w:p>
    <w:p w14:paraId="3A038E1E" w14:textId="77777777" w:rsidR="00B467F0" w:rsidRDefault="00B467F0" w:rsidP="00953DBF">
      <w:pPr>
        <w:spacing w:after="30" w:line="240" w:lineRule="auto"/>
        <w:jc w:val="both"/>
        <w:rPr>
          <w:rFonts w:ascii="Verdana" w:eastAsia="MS Mincho" w:hAnsi="Verdana"/>
          <w:sz w:val="21"/>
          <w:szCs w:val="21"/>
          <w:highlight w:val="lightGray"/>
          <w:lang w:eastAsia="ja-JP"/>
        </w:rPr>
      </w:pPr>
    </w:p>
    <w:p w14:paraId="4CD35B0B" w14:textId="6A8FB9A9" w:rsidR="00072617" w:rsidRDefault="001A0A61" w:rsidP="00953DBF">
      <w:pPr>
        <w:spacing w:after="30" w:line="240" w:lineRule="auto"/>
        <w:jc w:val="both"/>
        <w:rPr>
          <w:rFonts w:ascii="Verdana" w:eastAsia="MS Mincho" w:hAnsi="Verdana"/>
          <w:color w:val="FF0000"/>
          <w:sz w:val="21"/>
          <w:szCs w:val="21"/>
          <w:lang w:eastAsia="ja-JP"/>
        </w:rPr>
      </w:pPr>
      <w:r w:rsidRPr="008234D9">
        <w:rPr>
          <w:rFonts w:ascii="Verdana" w:eastAsia="MS Mincho" w:hAnsi="Verdana"/>
          <w:sz w:val="21"/>
          <w:szCs w:val="21"/>
          <w:lang w:eastAsia="ja-JP"/>
        </w:rPr>
        <w:t xml:space="preserve">Di seguito viene riportato l’Organigramma Aziendale pubblicato nella sezione dedicata </w:t>
      </w:r>
      <w:r w:rsidR="008A6621" w:rsidRPr="008234D9">
        <w:rPr>
          <w:rFonts w:ascii="Verdana" w:eastAsia="MS Mincho" w:hAnsi="Verdana"/>
          <w:sz w:val="21"/>
          <w:szCs w:val="21"/>
          <w:lang w:eastAsia="ja-JP"/>
        </w:rPr>
        <w:t>di</w:t>
      </w:r>
      <w:r w:rsidRPr="008234D9">
        <w:rPr>
          <w:rFonts w:ascii="Verdana" w:eastAsia="MS Mincho" w:hAnsi="Verdana"/>
          <w:sz w:val="21"/>
          <w:szCs w:val="21"/>
          <w:lang w:eastAsia="ja-JP"/>
        </w:rPr>
        <w:t xml:space="preserve"> Società Trasparente</w:t>
      </w:r>
      <w:r w:rsidR="001A5ACB" w:rsidRPr="008234D9">
        <w:rPr>
          <w:rFonts w:ascii="Verdana" w:eastAsia="MS Mincho" w:hAnsi="Verdana"/>
          <w:sz w:val="21"/>
          <w:szCs w:val="21"/>
          <w:lang w:eastAsia="ja-JP"/>
        </w:rPr>
        <w:t xml:space="preserve"> approvato dal </w:t>
      </w:r>
      <w:proofErr w:type="spellStart"/>
      <w:r w:rsidR="001A5ACB" w:rsidRPr="008234D9">
        <w:rPr>
          <w:rFonts w:ascii="Verdana" w:eastAsia="MS Mincho" w:hAnsi="Verdana"/>
          <w:sz w:val="21"/>
          <w:szCs w:val="21"/>
          <w:lang w:eastAsia="ja-JP"/>
        </w:rPr>
        <w:t>CdA</w:t>
      </w:r>
      <w:proofErr w:type="spellEnd"/>
      <w:r w:rsidR="001A5ACB" w:rsidRPr="008234D9">
        <w:rPr>
          <w:rFonts w:ascii="Verdana" w:eastAsia="MS Mincho" w:hAnsi="Verdana"/>
          <w:sz w:val="21"/>
          <w:szCs w:val="21"/>
          <w:lang w:eastAsia="ja-JP"/>
        </w:rPr>
        <w:t xml:space="preserve"> </w:t>
      </w:r>
      <w:r w:rsidR="00A87AF1">
        <w:rPr>
          <w:rFonts w:ascii="Verdana" w:eastAsia="MS Mincho" w:hAnsi="Verdana"/>
          <w:sz w:val="21"/>
          <w:szCs w:val="21"/>
          <w:lang w:eastAsia="ja-JP"/>
        </w:rPr>
        <w:t>il 26 novembre 2024</w:t>
      </w:r>
      <w:r w:rsidRPr="00A10E1D">
        <w:rPr>
          <w:rFonts w:ascii="Verdana" w:eastAsia="MS Mincho" w:hAnsi="Verdana"/>
          <w:sz w:val="21"/>
          <w:szCs w:val="21"/>
          <w:lang w:eastAsia="ja-JP"/>
        </w:rPr>
        <w:t>.</w:t>
      </w:r>
      <w:r w:rsidR="001A5ACB" w:rsidRPr="00A10E1D">
        <w:rPr>
          <w:rFonts w:ascii="Verdana" w:eastAsia="MS Mincho" w:hAnsi="Verdana"/>
          <w:sz w:val="21"/>
          <w:szCs w:val="21"/>
          <w:lang w:eastAsia="ja-JP"/>
        </w:rPr>
        <w:t xml:space="preserve"> L’organigramma </w:t>
      </w:r>
      <w:r w:rsidR="00BB6EE1" w:rsidRPr="00A10E1D">
        <w:rPr>
          <w:rFonts w:ascii="Verdana" w:eastAsia="MS Mincho" w:hAnsi="Verdana"/>
          <w:sz w:val="21"/>
          <w:szCs w:val="21"/>
          <w:lang w:eastAsia="ja-JP"/>
        </w:rPr>
        <w:t>è stato</w:t>
      </w:r>
      <w:r w:rsidR="001A5ACB" w:rsidRPr="00A10E1D">
        <w:rPr>
          <w:rFonts w:ascii="Verdana" w:eastAsia="MS Mincho" w:hAnsi="Verdana"/>
          <w:sz w:val="21"/>
          <w:szCs w:val="21"/>
          <w:lang w:eastAsia="ja-JP"/>
        </w:rPr>
        <w:t xml:space="preserve"> oggetto di revisione </w:t>
      </w:r>
      <w:r w:rsidR="00640713" w:rsidRPr="00A10E1D">
        <w:rPr>
          <w:rFonts w:ascii="Verdana" w:eastAsia="MS Mincho" w:hAnsi="Verdana"/>
          <w:sz w:val="21"/>
          <w:szCs w:val="21"/>
          <w:lang w:eastAsia="ja-JP"/>
        </w:rPr>
        <w:t>in seguito alla nomina</w:t>
      </w:r>
      <w:r w:rsidR="001A5ACB" w:rsidRPr="00A10E1D">
        <w:rPr>
          <w:rFonts w:ascii="Verdana" w:eastAsia="MS Mincho" w:hAnsi="Verdana"/>
          <w:sz w:val="21"/>
          <w:szCs w:val="21"/>
          <w:lang w:eastAsia="ja-JP"/>
        </w:rPr>
        <w:t xml:space="preserve"> del Commissario Straordinario</w:t>
      </w:r>
      <w:r w:rsidR="00640713" w:rsidRPr="00A10E1D">
        <w:rPr>
          <w:rFonts w:ascii="Verdana" w:eastAsia="MS Mincho" w:hAnsi="Verdana"/>
          <w:sz w:val="21"/>
          <w:szCs w:val="21"/>
          <w:lang w:eastAsia="ja-JP"/>
        </w:rPr>
        <w:t>, nuova figura</w:t>
      </w:r>
      <w:r w:rsidR="001A5ACB" w:rsidRPr="008234D9">
        <w:rPr>
          <w:rFonts w:ascii="Verdana" w:eastAsia="MS Mincho" w:hAnsi="Verdana"/>
          <w:sz w:val="21"/>
          <w:szCs w:val="21"/>
          <w:lang w:eastAsia="ja-JP"/>
        </w:rPr>
        <w:t xml:space="preserve"> </w:t>
      </w:r>
      <w:r w:rsidR="001A5ACB" w:rsidRPr="00A2177C">
        <w:rPr>
          <w:rFonts w:ascii="Verdana" w:eastAsia="MS Mincho" w:hAnsi="Verdana"/>
          <w:sz w:val="21"/>
          <w:szCs w:val="21"/>
          <w:lang w:eastAsia="ja-JP"/>
        </w:rPr>
        <w:t>introdotta a fine 2023</w:t>
      </w:r>
      <w:r w:rsidR="00640713" w:rsidRPr="00A2177C">
        <w:rPr>
          <w:rFonts w:ascii="Verdana" w:eastAsia="MS Mincho" w:hAnsi="Verdana"/>
          <w:sz w:val="21"/>
          <w:szCs w:val="21"/>
          <w:lang w:eastAsia="ja-JP"/>
        </w:rPr>
        <w:t>,</w:t>
      </w:r>
      <w:r w:rsidR="001A5ACB" w:rsidRPr="00A2177C">
        <w:rPr>
          <w:rFonts w:ascii="Verdana" w:eastAsia="MS Mincho" w:hAnsi="Verdana"/>
          <w:sz w:val="21"/>
          <w:szCs w:val="21"/>
          <w:lang w:eastAsia="ja-JP"/>
        </w:rPr>
        <w:t xml:space="preserve"> al quale sono affidati poteri di ordinaria amministrazione </w:t>
      </w:r>
      <w:r w:rsidR="00640713" w:rsidRPr="00A2177C">
        <w:rPr>
          <w:rFonts w:ascii="Verdana" w:eastAsia="MS Mincho" w:hAnsi="Verdana"/>
          <w:sz w:val="21"/>
          <w:szCs w:val="21"/>
          <w:lang w:eastAsia="ja-JP"/>
        </w:rPr>
        <w:t xml:space="preserve">e che </w:t>
      </w:r>
      <w:r w:rsidR="001A5ACB" w:rsidRPr="00A2177C">
        <w:rPr>
          <w:rFonts w:ascii="Verdana" w:eastAsia="MS Mincho" w:hAnsi="Verdana"/>
          <w:sz w:val="21"/>
          <w:szCs w:val="21"/>
          <w:lang w:eastAsia="ja-JP"/>
        </w:rPr>
        <w:t>risponde</w:t>
      </w:r>
      <w:r w:rsidR="00640713" w:rsidRPr="00A2177C">
        <w:rPr>
          <w:rFonts w:ascii="Verdana" w:eastAsia="MS Mincho" w:hAnsi="Verdana"/>
          <w:sz w:val="21"/>
          <w:szCs w:val="21"/>
          <w:lang w:eastAsia="ja-JP"/>
        </w:rPr>
        <w:t xml:space="preserve"> del proprio operato</w:t>
      </w:r>
      <w:r w:rsidR="001A5ACB" w:rsidRPr="00A2177C">
        <w:rPr>
          <w:rFonts w:ascii="Verdana" w:eastAsia="MS Mincho" w:hAnsi="Verdana"/>
          <w:sz w:val="21"/>
          <w:szCs w:val="21"/>
          <w:lang w:eastAsia="ja-JP"/>
        </w:rPr>
        <w:t xml:space="preserve"> al Consiglio di Amministrazione.</w:t>
      </w:r>
      <w:r w:rsidR="00A10E1D" w:rsidRPr="00A2177C">
        <w:rPr>
          <w:rFonts w:ascii="Verdana" w:eastAsia="MS Mincho" w:hAnsi="Verdana"/>
          <w:sz w:val="21"/>
          <w:szCs w:val="21"/>
          <w:lang w:eastAsia="ja-JP"/>
        </w:rPr>
        <w:t xml:space="preserve"> Conseguentemente a detta nomina vi è stata anche una riassegnazione dei poteri in delega, con l’obiettivo di avvicinare la struttura del sistema di governance dell’Istituto a quella tipica di un’azienda sanitaria pubblica dove il Responsabile dell’Area Tecnico-Amministrativa affianca Direttore Generale/Commissario Straordinario e il Direttore Sanitario.</w:t>
      </w:r>
    </w:p>
    <w:p w14:paraId="56D70023" w14:textId="1E23EF03" w:rsidR="00A87AF1" w:rsidRPr="00CC1E98" w:rsidRDefault="00790D37" w:rsidP="00953DBF">
      <w:pPr>
        <w:spacing w:after="30" w:line="240" w:lineRule="auto"/>
        <w:jc w:val="both"/>
        <w:rPr>
          <w:rFonts w:ascii="Verdana" w:eastAsia="MS Mincho" w:hAnsi="Verdana"/>
          <w:b/>
          <w:bCs/>
          <w:sz w:val="21"/>
          <w:szCs w:val="21"/>
          <w:lang w:eastAsia="ja-JP"/>
        </w:rPr>
      </w:pPr>
      <w:r w:rsidRPr="00EB4213">
        <w:rPr>
          <w:noProof/>
        </w:rPr>
        <w:drawing>
          <wp:inline distT="0" distB="0" distL="0" distR="0" wp14:anchorId="05CC80CA" wp14:editId="1A64A674">
            <wp:extent cx="6116129" cy="4206824"/>
            <wp:effectExtent l="0" t="0" r="0" b="381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7147" cy="4228159"/>
                    </a:xfrm>
                    <a:prstGeom prst="rect">
                      <a:avLst/>
                    </a:prstGeom>
                    <a:noFill/>
                    <a:ln>
                      <a:noFill/>
                    </a:ln>
                  </pic:spPr>
                </pic:pic>
              </a:graphicData>
            </a:graphic>
          </wp:inline>
        </w:drawing>
      </w:r>
    </w:p>
    <w:p w14:paraId="112D2E96" w14:textId="77777777" w:rsidR="001C3DF9" w:rsidRDefault="001C3DF9" w:rsidP="00C57446">
      <w:pPr>
        <w:spacing w:after="30" w:line="240" w:lineRule="auto"/>
        <w:jc w:val="both"/>
      </w:pPr>
    </w:p>
    <w:p w14:paraId="0D60EB3D" w14:textId="77777777" w:rsidR="001C3DF9" w:rsidRPr="008234D9" w:rsidRDefault="001C3DF9" w:rsidP="00C57446">
      <w:pPr>
        <w:spacing w:after="30" w:line="240" w:lineRule="auto"/>
        <w:jc w:val="both"/>
        <w:rPr>
          <w:rFonts w:ascii="Verdana" w:hAnsi="Verdana"/>
          <w:sz w:val="21"/>
          <w:szCs w:val="21"/>
        </w:rPr>
      </w:pPr>
      <w:r w:rsidRPr="008234D9">
        <w:rPr>
          <w:rFonts w:ascii="Verdana" w:hAnsi="Verdana"/>
          <w:sz w:val="21"/>
          <w:szCs w:val="21"/>
        </w:rPr>
        <w:t xml:space="preserve">Per la lettura </w:t>
      </w:r>
      <w:r w:rsidR="007D04F8" w:rsidRPr="008234D9">
        <w:rPr>
          <w:rFonts w:ascii="Verdana" w:hAnsi="Verdana"/>
          <w:sz w:val="21"/>
          <w:szCs w:val="21"/>
        </w:rPr>
        <w:t>integrale</w:t>
      </w:r>
      <w:r w:rsidRPr="008234D9">
        <w:rPr>
          <w:rFonts w:ascii="Verdana" w:hAnsi="Verdana"/>
          <w:sz w:val="21"/>
          <w:szCs w:val="21"/>
        </w:rPr>
        <w:t xml:space="preserve"> </w:t>
      </w:r>
      <w:r w:rsidR="00B104D2" w:rsidRPr="008234D9">
        <w:rPr>
          <w:rFonts w:ascii="Verdana" w:hAnsi="Verdana"/>
          <w:sz w:val="21"/>
          <w:szCs w:val="21"/>
        </w:rPr>
        <w:t xml:space="preserve">dell’Atto Aziendale </w:t>
      </w:r>
      <w:r w:rsidR="00D4381C" w:rsidRPr="008234D9">
        <w:rPr>
          <w:rFonts w:ascii="Verdana" w:hAnsi="Verdana"/>
          <w:sz w:val="21"/>
          <w:szCs w:val="21"/>
        </w:rPr>
        <w:t xml:space="preserve">di organizzazione e funzionamento </w:t>
      </w:r>
      <w:r w:rsidR="00B104D2" w:rsidRPr="008234D9">
        <w:rPr>
          <w:rFonts w:ascii="Verdana" w:hAnsi="Verdana"/>
          <w:sz w:val="21"/>
          <w:szCs w:val="21"/>
        </w:rPr>
        <w:t>adottato dalla Società si rimanda al link</w:t>
      </w:r>
      <w:r w:rsidR="007524EC">
        <w:rPr>
          <w:rFonts w:ascii="Verdana" w:hAnsi="Verdana"/>
          <w:sz w:val="21"/>
          <w:szCs w:val="21"/>
        </w:rPr>
        <w:t xml:space="preserve"> </w:t>
      </w:r>
      <w:hyperlink r:id="rId13" w:history="1">
        <w:r w:rsidR="007524EC" w:rsidRPr="007524EC">
          <w:rPr>
            <w:rStyle w:val="Collegamentoipertestuale"/>
            <w:rFonts w:ascii="Verdana" w:hAnsi="Verdana"/>
            <w:sz w:val="21"/>
            <w:szCs w:val="21"/>
          </w:rPr>
          <w:t>DOC30-Atto-Aziendale-rev9-26-11-2024.pdf</w:t>
        </w:r>
      </w:hyperlink>
      <w:r w:rsidR="007524EC">
        <w:rPr>
          <w:rFonts w:ascii="Verdana" w:hAnsi="Verdana"/>
          <w:sz w:val="21"/>
          <w:szCs w:val="21"/>
        </w:rPr>
        <w:t xml:space="preserve"> di pubblica</w:t>
      </w:r>
      <w:r w:rsidR="00B104D2" w:rsidRPr="008234D9">
        <w:rPr>
          <w:rFonts w:ascii="Verdana" w:hAnsi="Verdana"/>
          <w:sz w:val="21"/>
          <w:szCs w:val="21"/>
        </w:rPr>
        <w:t>zione in Società Trasparente</w:t>
      </w:r>
      <w:r w:rsidRPr="008234D9">
        <w:rPr>
          <w:rFonts w:ascii="Verdana" w:hAnsi="Verdana"/>
          <w:sz w:val="21"/>
          <w:szCs w:val="21"/>
        </w:rPr>
        <w:t xml:space="preserve">. </w:t>
      </w:r>
    </w:p>
    <w:p w14:paraId="5A2D4638" w14:textId="77777777" w:rsidR="007524EC" w:rsidRDefault="007524EC" w:rsidP="00C57446">
      <w:pPr>
        <w:spacing w:after="30" w:line="240" w:lineRule="auto"/>
        <w:jc w:val="both"/>
        <w:rPr>
          <w:rFonts w:ascii="Verdana" w:hAnsi="Verdana"/>
          <w:sz w:val="21"/>
          <w:szCs w:val="21"/>
        </w:rPr>
      </w:pPr>
    </w:p>
    <w:p w14:paraId="15EBC1FD" w14:textId="77777777" w:rsidR="00072617" w:rsidRDefault="00072617" w:rsidP="00C57446">
      <w:pPr>
        <w:spacing w:after="30" w:line="240" w:lineRule="auto"/>
        <w:jc w:val="both"/>
        <w:rPr>
          <w:rFonts w:ascii="Verdana" w:hAnsi="Verdana"/>
          <w:sz w:val="21"/>
          <w:szCs w:val="21"/>
        </w:rPr>
      </w:pPr>
      <w:r>
        <w:rPr>
          <w:rFonts w:ascii="Verdana" w:hAnsi="Verdana"/>
          <w:sz w:val="21"/>
          <w:szCs w:val="21"/>
        </w:rPr>
        <w:t>Il rinnovo dell’</w:t>
      </w:r>
      <w:r w:rsidRPr="00072617">
        <w:rPr>
          <w:rFonts w:ascii="Verdana" w:hAnsi="Verdana"/>
          <w:b/>
          <w:bCs/>
          <w:sz w:val="21"/>
          <w:szCs w:val="21"/>
        </w:rPr>
        <w:t>Accreditamento Istituzionale</w:t>
      </w:r>
      <w:r>
        <w:rPr>
          <w:rFonts w:ascii="Verdana" w:hAnsi="Verdana"/>
          <w:sz w:val="21"/>
          <w:szCs w:val="21"/>
        </w:rPr>
        <w:t xml:space="preserve"> dell’Ospedale di Montecatone risale a maggio 2023 a seguito di valutazione dell’Organismo Tecnicamente Accreditante della regione Emilia-Romagna che ha convalidato il mantenimento della conformità ai requisiti previsti dal modello di accreditamento regionale per le strutture sanitarie e il miglioramento continuo della qualità assistenziale.</w:t>
      </w:r>
    </w:p>
    <w:p w14:paraId="107DD31E" w14:textId="77777777" w:rsidR="00C64A5A" w:rsidRPr="008234D9" w:rsidRDefault="00C64A5A" w:rsidP="00953DBF">
      <w:pPr>
        <w:spacing w:after="30" w:line="240" w:lineRule="auto"/>
        <w:jc w:val="both"/>
        <w:rPr>
          <w:rFonts w:ascii="Verdana" w:hAnsi="Verdana"/>
          <w:sz w:val="21"/>
          <w:szCs w:val="21"/>
        </w:rPr>
      </w:pPr>
    </w:p>
    <w:p w14:paraId="4618CEF6" w14:textId="77777777" w:rsidR="00C64A5A" w:rsidRPr="008234D9" w:rsidRDefault="00C64A5A" w:rsidP="00953DBF">
      <w:pPr>
        <w:spacing w:after="30" w:line="240" w:lineRule="auto"/>
        <w:jc w:val="both"/>
        <w:rPr>
          <w:rFonts w:ascii="Verdana" w:hAnsi="Verdana"/>
          <w:sz w:val="21"/>
          <w:szCs w:val="21"/>
        </w:rPr>
      </w:pPr>
      <w:r w:rsidRPr="008234D9">
        <w:rPr>
          <w:rFonts w:ascii="Verdana" w:hAnsi="Verdana"/>
          <w:sz w:val="21"/>
          <w:szCs w:val="21"/>
        </w:rPr>
        <w:t xml:space="preserve">Alla data di redazione del presente aggiornamento annuale al </w:t>
      </w:r>
      <w:r w:rsidR="00A2177C">
        <w:rPr>
          <w:rFonts w:ascii="Verdana" w:hAnsi="Verdana"/>
          <w:sz w:val="21"/>
          <w:szCs w:val="21"/>
        </w:rPr>
        <w:t>P</w:t>
      </w:r>
      <w:r w:rsidRPr="008234D9">
        <w:rPr>
          <w:rFonts w:ascii="Verdana" w:hAnsi="Verdana"/>
          <w:sz w:val="21"/>
          <w:szCs w:val="21"/>
        </w:rPr>
        <w:t>iano, in sintesi, l’organizzazione e la regolamentazione della Montecatone R.I. Spa restano in una fase di evoluzione progressiva verso l’applicazione piena della disciplina pubblica, con tutte le difficoltà e le incertezze connesse alle fasi di transizione.</w:t>
      </w:r>
    </w:p>
    <w:p w14:paraId="40C87B86" w14:textId="77777777" w:rsidR="000B5C52" w:rsidRDefault="000B5C52" w:rsidP="00953DBF">
      <w:pPr>
        <w:spacing w:after="30" w:line="240" w:lineRule="auto"/>
        <w:jc w:val="both"/>
        <w:rPr>
          <w:rFonts w:ascii="Verdana" w:hAnsi="Verdana"/>
          <w:sz w:val="21"/>
          <w:szCs w:val="21"/>
          <w:highlight w:val="yellow"/>
        </w:rPr>
      </w:pPr>
    </w:p>
    <w:p w14:paraId="66379A72" w14:textId="77777777" w:rsidR="00A7219D" w:rsidRDefault="00A7219D" w:rsidP="00A7219D">
      <w:pPr>
        <w:spacing w:after="30" w:line="240" w:lineRule="auto"/>
        <w:jc w:val="both"/>
        <w:rPr>
          <w:rFonts w:ascii="Verdana" w:hAnsi="Verdana"/>
          <w:sz w:val="21"/>
          <w:szCs w:val="21"/>
        </w:rPr>
      </w:pPr>
      <w:bookmarkStart w:id="16" w:name="_Hlk93403007"/>
    </w:p>
    <w:p w14:paraId="7E2CEE4A" w14:textId="77777777" w:rsidR="00DC28D5" w:rsidRDefault="00DC28D5" w:rsidP="009229B8">
      <w:pPr>
        <w:pStyle w:val="Titolo2"/>
        <w:rPr>
          <w:lang w:eastAsia="it-IT"/>
        </w:rPr>
      </w:pPr>
      <w:bookmarkStart w:id="17" w:name="_Toc225863535"/>
      <w:bookmarkEnd w:id="16"/>
      <w:r w:rsidRPr="008646AA">
        <w:rPr>
          <w:lang w:eastAsia="it-IT"/>
        </w:rPr>
        <w:t>G.</w:t>
      </w:r>
      <w:r w:rsidR="00422578">
        <w:rPr>
          <w:lang w:eastAsia="it-IT"/>
        </w:rPr>
        <w:t>5</w:t>
      </w:r>
      <w:r w:rsidRPr="008646AA">
        <w:rPr>
          <w:lang w:eastAsia="it-IT"/>
        </w:rPr>
        <w:t xml:space="preserve"> FONDAZIONE MONTECATONE </w:t>
      </w:r>
      <w:r w:rsidR="00301F63" w:rsidRPr="005746B5">
        <w:rPr>
          <w:lang w:eastAsia="it-IT"/>
        </w:rPr>
        <w:t>ETS</w:t>
      </w:r>
      <w:bookmarkEnd w:id="17"/>
    </w:p>
    <w:p w14:paraId="1CBE75C9" w14:textId="77777777" w:rsidR="00952C9D" w:rsidRDefault="00952C9D">
      <w:pPr>
        <w:spacing w:after="30" w:line="240" w:lineRule="auto"/>
        <w:jc w:val="both"/>
        <w:rPr>
          <w:rFonts w:ascii="Verdana" w:hAnsi="Verdana"/>
          <w:sz w:val="21"/>
          <w:szCs w:val="21"/>
        </w:rPr>
      </w:pPr>
    </w:p>
    <w:p w14:paraId="51B95EE2" w14:textId="746AAE92" w:rsidR="00DC28D5" w:rsidRPr="008646AA" w:rsidRDefault="00DC28D5">
      <w:pPr>
        <w:spacing w:after="30" w:line="240" w:lineRule="auto"/>
        <w:jc w:val="both"/>
        <w:rPr>
          <w:rFonts w:ascii="Verdana" w:hAnsi="Verdana"/>
          <w:sz w:val="21"/>
          <w:szCs w:val="21"/>
        </w:rPr>
      </w:pPr>
      <w:r w:rsidRPr="008646AA">
        <w:rPr>
          <w:rFonts w:ascii="Verdana" w:hAnsi="Verdana"/>
          <w:sz w:val="21"/>
          <w:szCs w:val="21"/>
        </w:rPr>
        <w:t xml:space="preserve">Dal 1998 la Società ha dato vita ad una Fondazione </w:t>
      </w:r>
      <w:r w:rsidR="00301F63" w:rsidRPr="005746B5">
        <w:rPr>
          <w:rFonts w:ascii="Verdana" w:hAnsi="Verdana"/>
          <w:sz w:val="21"/>
          <w:szCs w:val="21"/>
        </w:rPr>
        <w:t>(che nel 2025 ha completato l’iscrizione al Registro Unico Nazionale del Terzo Settore)</w:t>
      </w:r>
      <w:r w:rsidRPr="005746B5">
        <w:rPr>
          <w:rFonts w:ascii="Verdana" w:hAnsi="Verdana"/>
          <w:sz w:val="21"/>
          <w:szCs w:val="21"/>
        </w:rPr>
        <w:t xml:space="preserve"> con il</w:t>
      </w:r>
      <w:r w:rsidRPr="008646AA">
        <w:rPr>
          <w:rFonts w:ascii="Verdana" w:hAnsi="Verdana"/>
          <w:sz w:val="21"/>
          <w:szCs w:val="21"/>
        </w:rPr>
        <w:t xml:space="preserve"> mandato di affiancare l’Ospedale; la Fondazione è gestita da un Consiglio di Amministrazione ed ha un Sindaco Revisore Unico attualmente nominati dal </w:t>
      </w:r>
      <w:r w:rsidRPr="00E97E50">
        <w:rPr>
          <w:rFonts w:ascii="Verdana" w:hAnsi="Verdana"/>
          <w:sz w:val="21"/>
          <w:szCs w:val="21"/>
        </w:rPr>
        <w:t>socio</w:t>
      </w:r>
      <w:r w:rsidR="00B370FE" w:rsidRPr="00E97E50">
        <w:rPr>
          <w:rFonts w:ascii="Verdana" w:hAnsi="Verdana"/>
          <w:sz w:val="21"/>
          <w:szCs w:val="21"/>
        </w:rPr>
        <w:t xml:space="preserve"> unico</w:t>
      </w:r>
      <w:r w:rsidRPr="00E97E50">
        <w:rPr>
          <w:rFonts w:ascii="Verdana" w:hAnsi="Verdana"/>
          <w:sz w:val="21"/>
          <w:szCs w:val="21"/>
        </w:rPr>
        <w:t xml:space="preserve"> fondatore</w:t>
      </w:r>
      <w:r w:rsidRPr="008646AA">
        <w:rPr>
          <w:rFonts w:ascii="Verdana" w:hAnsi="Verdana"/>
          <w:sz w:val="21"/>
          <w:szCs w:val="21"/>
        </w:rPr>
        <w:t xml:space="preserve"> originario. Si è dotata di Modello ex Decreto Lgs. 231/2001</w:t>
      </w:r>
      <w:r w:rsidR="005746B5">
        <w:rPr>
          <w:rFonts w:ascii="Verdana" w:hAnsi="Verdana"/>
          <w:sz w:val="21"/>
          <w:szCs w:val="21"/>
        </w:rPr>
        <w:t>.</w:t>
      </w:r>
      <w:r w:rsidR="005746B5" w:rsidRPr="008646AA">
        <w:rPr>
          <w:rFonts w:ascii="Verdana" w:hAnsi="Verdana"/>
          <w:sz w:val="21"/>
          <w:szCs w:val="21"/>
        </w:rPr>
        <w:t xml:space="preserve"> </w:t>
      </w:r>
    </w:p>
    <w:p w14:paraId="4F79ED27" w14:textId="77777777" w:rsidR="00DC28D5" w:rsidRPr="008646AA" w:rsidRDefault="00365D75">
      <w:pPr>
        <w:spacing w:after="30" w:line="240" w:lineRule="auto"/>
        <w:jc w:val="both"/>
        <w:rPr>
          <w:rFonts w:ascii="Verdana" w:hAnsi="Verdana"/>
          <w:sz w:val="21"/>
          <w:szCs w:val="21"/>
        </w:rPr>
      </w:pPr>
      <w:r w:rsidRPr="00DA488D">
        <w:rPr>
          <w:rFonts w:ascii="Verdana" w:hAnsi="Verdana"/>
          <w:sz w:val="21"/>
          <w:szCs w:val="21"/>
        </w:rPr>
        <w:t xml:space="preserve">Come già riferito </w:t>
      </w:r>
      <w:r w:rsidR="000470F0" w:rsidRPr="00DA488D">
        <w:rPr>
          <w:rFonts w:ascii="Verdana" w:hAnsi="Verdana"/>
          <w:sz w:val="21"/>
          <w:szCs w:val="21"/>
        </w:rPr>
        <w:t>nel paragrafo precedente G2 “Rapporti con il territorio e gli stakeholder”</w:t>
      </w:r>
      <w:r w:rsidRPr="00DA488D">
        <w:rPr>
          <w:rFonts w:ascii="Verdana" w:hAnsi="Verdana"/>
          <w:sz w:val="21"/>
          <w:szCs w:val="21"/>
        </w:rPr>
        <w:t>, n</w:t>
      </w:r>
      <w:r w:rsidR="00DC28D5" w:rsidRPr="00DA488D">
        <w:rPr>
          <w:rFonts w:ascii="Verdana" w:hAnsi="Verdana"/>
          <w:sz w:val="21"/>
          <w:szCs w:val="21"/>
        </w:rPr>
        <w:t>el corso</w:t>
      </w:r>
      <w:r w:rsidR="00DC28D5" w:rsidRPr="008646AA">
        <w:rPr>
          <w:rFonts w:ascii="Verdana" w:hAnsi="Verdana"/>
          <w:sz w:val="21"/>
          <w:szCs w:val="21"/>
        </w:rPr>
        <w:t xml:space="preserve"> dell’ultimo quinquennio si è scelto di aumentare l’interazione operativa tra le due realtà, attraverso:</w:t>
      </w:r>
    </w:p>
    <w:p w14:paraId="138BBDF9" w14:textId="77777777" w:rsidR="00DC28D5" w:rsidRPr="008646AA" w:rsidRDefault="00DC28D5" w:rsidP="00327D29">
      <w:pPr>
        <w:numPr>
          <w:ilvl w:val="0"/>
          <w:numId w:val="15"/>
        </w:numPr>
        <w:spacing w:after="30" w:line="240" w:lineRule="auto"/>
        <w:ind w:left="426"/>
        <w:jc w:val="both"/>
        <w:rPr>
          <w:rFonts w:ascii="Verdana" w:hAnsi="Verdana"/>
          <w:strike/>
          <w:sz w:val="21"/>
          <w:szCs w:val="21"/>
        </w:rPr>
      </w:pPr>
      <w:r w:rsidRPr="008646AA">
        <w:rPr>
          <w:rFonts w:ascii="Verdana" w:hAnsi="Verdana"/>
          <w:sz w:val="21"/>
          <w:szCs w:val="21"/>
        </w:rPr>
        <w:t>la collaborazione per le iniziative di comunicazione esterna</w:t>
      </w:r>
      <w:r w:rsidR="00A57734" w:rsidRPr="008646AA">
        <w:rPr>
          <w:rFonts w:ascii="Verdana" w:hAnsi="Verdana"/>
          <w:sz w:val="21"/>
          <w:szCs w:val="21"/>
        </w:rPr>
        <w:t xml:space="preserve"> </w:t>
      </w:r>
      <w:r w:rsidRPr="008646AA">
        <w:rPr>
          <w:rFonts w:ascii="Verdana" w:hAnsi="Verdana"/>
          <w:sz w:val="21"/>
          <w:szCs w:val="21"/>
        </w:rPr>
        <w:t xml:space="preserve">fino alla organizzazione congiunta di eventi rivolti alla cittadinanza e </w:t>
      </w:r>
      <w:r w:rsidR="00A57734" w:rsidRPr="008646AA">
        <w:rPr>
          <w:rFonts w:ascii="Verdana" w:hAnsi="Verdana"/>
          <w:sz w:val="21"/>
          <w:szCs w:val="21"/>
        </w:rPr>
        <w:t xml:space="preserve">di </w:t>
      </w:r>
      <w:r w:rsidRPr="008646AA">
        <w:rPr>
          <w:rFonts w:ascii="Verdana" w:hAnsi="Verdana"/>
          <w:sz w:val="21"/>
          <w:szCs w:val="21"/>
        </w:rPr>
        <w:t>campagne di raccolta fondi;</w:t>
      </w:r>
      <w:r w:rsidR="00E001BE" w:rsidRPr="008646AA">
        <w:rPr>
          <w:rFonts w:ascii="Verdana" w:hAnsi="Verdana"/>
          <w:sz w:val="21"/>
          <w:szCs w:val="21"/>
        </w:rPr>
        <w:t xml:space="preserve"> </w:t>
      </w:r>
    </w:p>
    <w:p w14:paraId="7303B3E6" w14:textId="77777777" w:rsidR="00DC28D5" w:rsidRPr="008646AA" w:rsidRDefault="00DC28D5" w:rsidP="00327D29">
      <w:pPr>
        <w:numPr>
          <w:ilvl w:val="0"/>
          <w:numId w:val="15"/>
        </w:numPr>
        <w:spacing w:after="30" w:line="240" w:lineRule="auto"/>
        <w:ind w:left="426"/>
        <w:jc w:val="both"/>
        <w:rPr>
          <w:rFonts w:ascii="Verdana" w:hAnsi="Verdana"/>
          <w:sz w:val="21"/>
          <w:szCs w:val="21"/>
        </w:rPr>
      </w:pPr>
      <w:r w:rsidRPr="008646AA">
        <w:rPr>
          <w:rFonts w:ascii="Verdana" w:hAnsi="Verdana"/>
          <w:sz w:val="21"/>
          <w:szCs w:val="21"/>
        </w:rPr>
        <w:t>la condivisione di alcune istruzioni operative relative alla gestione di attività di</w:t>
      </w:r>
      <w:r w:rsidR="00815620" w:rsidRPr="008646AA">
        <w:rPr>
          <w:rFonts w:ascii="Verdana" w:hAnsi="Verdana"/>
          <w:sz w:val="21"/>
          <w:szCs w:val="21"/>
        </w:rPr>
        <w:t xml:space="preserve"> corollario</w:t>
      </w:r>
      <w:r w:rsidRPr="008646AA">
        <w:rPr>
          <w:rFonts w:ascii="Verdana" w:hAnsi="Verdana"/>
          <w:sz w:val="21"/>
          <w:szCs w:val="21"/>
        </w:rPr>
        <w:t xml:space="preserve"> alla vita ospedaliera (eventi ricreativi nel fine settimana, uscite ricreative);</w:t>
      </w:r>
    </w:p>
    <w:p w14:paraId="70197277" w14:textId="77777777" w:rsidR="00DC28D5" w:rsidRDefault="00DC28D5" w:rsidP="00327D29">
      <w:pPr>
        <w:numPr>
          <w:ilvl w:val="0"/>
          <w:numId w:val="15"/>
        </w:numPr>
        <w:spacing w:after="30" w:line="240" w:lineRule="auto"/>
        <w:ind w:left="426"/>
        <w:jc w:val="both"/>
        <w:rPr>
          <w:rFonts w:ascii="Verdana" w:hAnsi="Verdana"/>
          <w:sz w:val="21"/>
          <w:szCs w:val="21"/>
        </w:rPr>
      </w:pPr>
      <w:r w:rsidRPr="008646AA">
        <w:rPr>
          <w:rFonts w:ascii="Verdana" w:hAnsi="Verdana"/>
          <w:sz w:val="21"/>
          <w:szCs w:val="21"/>
        </w:rPr>
        <w:t xml:space="preserve">una </w:t>
      </w:r>
      <w:r w:rsidRPr="00E97E50">
        <w:rPr>
          <w:rFonts w:ascii="Verdana" w:hAnsi="Verdana"/>
          <w:sz w:val="21"/>
          <w:szCs w:val="21"/>
        </w:rPr>
        <w:t>convenzione</w:t>
      </w:r>
      <w:r w:rsidR="006C5EB7" w:rsidRPr="00E97E50">
        <w:rPr>
          <w:rFonts w:ascii="Verdana" w:hAnsi="Verdana"/>
          <w:sz w:val="21"/>
          <w:szCs w:val="21"/>
        </w:rPr>
        <w:t xml:space="preserve"> pluriennale</w:t>
      </w:r>
      <w:r w:rsidRPr="008646AA">
        <w:rPr>
          <w:rFonts w:ascii="Verdana" w:hAnsi="Verdana"/>
          <w:sz w:val="21"/>
          <w:szCs w:val="21"/>
        </w:rPr>
        <w:t xml:space="preserve"> che affida alla Fondazione Montecatone Onlus la gestione del volontariato presente in Ospedale e consente l’accesso di volontari in Servizio Civile selezionati dalla Fondazione.</w:t>
      </w:r>
    </w:p>
    <w:p w14:paraId="1B493F6F" w14:textId="77777777" w:rsidR="00301F63" w:rsidRPr="005746B5" w:rsidRDefault="00301F63" w:rsidP="00301F63">
      <w:pPr>
        <w:spacing w:after="30" w:line="240" w:lineRule="auto"/>
        <w:ind w:left="66"/>
        <w:jc w:val="both"/>
        <w:rPr>
          <w:rFonts w:ascii="Verdana" w:hAnsi="Verdana"/>
          <w:sz w:val="21"/>
          <w:szCs w:val="21"/>
        </w:rPr>
      </w:pPr>
      <w:r w:rsidRPr="005746B5">
        <w:rPr>
          <w:rFonts w:ascii="Verdana" w:hAnsi="Verdana"/>
          <w:sz w:val="21"/>
          <w:szCs w:val="21"/>
        </w:rPr>
        <w:t>Nel corso del 2025, anche in vista del rinnovo della Convenzione in scadenza al 31.12.25, si sono avviati incontri finalizzati a migliorare l’integrazione tra i due enti, con riferimento specifico a:</w:t>
      </w:r>
    </w:p>
    <w:p w14:paraId="64135712" w14:textId="456F922B" w:rsidR="00301F63" w:rsidRPr="005746B5" w:rsidRDefault="00301F63" w:rsidP="00327D29">
      <w:pPr>
        <w:numPr>
          <w:ilvl w:val="0"/>
          <w:numId w:val="10"/>
        </w:numPr>
        <w:spacing w:after="30" w:line="240" w:lineRule="auto"/>
        <w:jc w:val="both"/>
        <w:rPr>
          <w:rFonts w:ascii="Verdana" w:hAnsi="Verdana"/>
          <w:sz w:val="21"/>
          <w:szCs w:val="21"/>
        </w:rPr>
      </w:pPr>
      <w:r w:rsidRPr="005746B5">
        <w:rPr>
          <w:rFonts w:ascii="Verdana" w:hAnsi="Verdana"/>
          <w:sz w:val="21"/>
          <w:szCs w:val="21"/>
        </w:rPr>
        <w:t>gestione dei beni conferiti</w:t>
      </w:r>
      <w:r w:rsidR="005746B5">
        <w:rPr>
          <w:rFonts w:ascii="Verdana" w:hAnsi="Verdana"/>
          <w:sz w:val="21"/>
          <w:szCs w:val="21"/>
        </w:rPr>
        <w:t xml:space="preserve"> </w:t>
      </w:r>
      <w:r w:rsidRPr="005746B5">
        <w:rPr>
          <w:rFonts w:ascii="Verdana" w:hAnsi="Verdana"/>
          <w:sz w:val="21"/>
          <w:szCs w:val="21"/>
        </w:rPr>
        <w:t xml:space="preserve">dalla Fondazione all’Ospedale </w:t>
      </w:r>
      <w:r w:rsidR="00817373" w:rsidRPr="005746B5">
        <w:rPr>
          <w:rFonts w:ascii="Verdana" w:hAnsi="Verdana"/>
          <w:sz w:val="21"/>
          <w:szCs w:val="21"/>
        </w:rPr>
        <w:t>in</w:t>
      </w:r>
      <w:r w:rsidRPr="005746B5">
        <w:rPr>
          <w:rFonts w:ascii="Verdana" w:hAnsi="Verdana"/>
          <w:sz w:val="21"/>
          <w:szCs w:val="21"/>
        </w:rPr>
        <w:t xml:space="preserve"> comodato;</w:t>
      </w:r>
    </w:p>
    <w:p w14:paraId="55002DE5" w14:textId="5D1FB308" w:rsidR="00301F63" w:rsidRPr="005746B5" w:rsidRDefault="00301F63" w:rsidP="00327D29">
      <w:pPr>
        <w:numPr>
          <w:ilvl w:val="0"/>
          <w:numId w:val="10"/>
        </w:numPr>
        <w:spacing w:after="30" w:line="240" w:lineRule="auto"/>
        <w:jc w:val="both"/>
        <w:rPr>
          <w:rFonts w:ascii="Verdana" w:hAnsi="Verdana"/>
          <w:sz w:val="21"/>
          <w:szCs w:val="21"/>
        </w:rPr>
      </w:pPr>
      <w:r w:rsidRPr="005746B5">
        <w:rPr>
          <w:rFonts w:ascii="Verdana" w:hAnsi="Verdana"/>
          <w:sz w:val="21"/>
          <w:szCs w:val="21"/>
        </w:rPr>
        <w:t>gestione del servizio di trasporto persone ricoverate, tramite volontari e dipendenti della Fondazione</w:t>
      </w:r>
      <w:r w:rsidR="00817373" w:rsidRPr="005746B5">
        <w:rPr>
          <w:rFonts w:ascii="Verdana" w:hAnsi="Verdana"/>
          <w:sz w:val="21"/>
          <w:szCs w:val="21"/>
        </w:rPr>
        <w:t>.</w:t>
      </w:r>
    </w:p>
    <w:p w14:paraId="02ED9AAA" w14:textId="77777777" w:rsidR="00301F63" w:rsidRDefault="00301F63" w:rsidP="00301F63">
      <w:pPr>
        <w:spacing w:after="30" w:line="240" w:lineRule="auto"/>
        <w:jc w:val="both"/>
        <w:rPr>
          <w:rFonts w:ascii="Verdana" w:hAnsi="Verdana"/>
          <w:sz w:val="21"/>
          <w:szCs w:val="21"/>
        </w:rPr>
      </w:pPr>
    </w:p>
    <w:p w14:paraId="3DD40A23" w14:textId="77777777" w:rsidR="00422578" w:rsidRDefault="00422578" w:rsidP="00422578">
      <w:pPr>
        <w:spacing w:after="30" w:line="240" w:lineRule="auto"/>
        <w:ind w:left="426"/>
        <w:jc w:val="both"/>
        <w:rPr>
          <w:rFonts w:ascii="Verdana" w:hAnsi="Verdana"/>
          <w:sz w:val="21"/>
          <w:szCs w:val="21"/>
        </w:rPr>
      </w:pPr>
    </w:p>
    <w:p w14:paraId="0A95C400" w14:textId="77777777" w:rsidR="00422578" w:rsidRDefault="00422578" w:rsidP="00422578">
      <w:pPr>
        <w:pStyle w:val="Titolo2"/>
        <w:rPr>
          <w:lang w:eastAsia="it-IT"/>
        </w:rPr>
      </w:pPr>
      <w:bookmarkStart w:id="18" w:name="_Toc225863536"/>
      <w:r w:rsidRPr="003D5DEB">
        <w:rPr>
          <w:lang w:val="it-IT" w:eastAsia="it-IT"/>
        </w:rPr>
        <w:t>G</w:t>
      </w:r>
      <w:r w:rsidRPr="003D5DEB">
        <w:rPr>
          <w:lang w:eastAsia="it-IT"/>
        </w:rPr>
        <w:t>.</w:t>
      </w:r>
      <w:r w:rsidR="00686416">
        <w:rPr>
          <w:lang w:eastAsia="it-IT"/>
        </w:rPr>
        <w:t>6</w:t>
      </w:r>
      <w:r w:rsidRPr="0009315F">
        <w:rPr>
          <w:lang w:eastAsia="it-IT"/>
        </w:rPr>
        <w:t xml:space="preserve"> MAPPATURA DEI PROCESSI</w:t>
      </w:r>
      <w:bookmarkEnd w:id="18"/>
    </w:p>
    <w:p w14:paraId="2E8CDAF7" w14:textId="77777777" w:rsidR="00422578" w:rsidRDefault="00422578" w:rsidP="00422578">
      <w:pPr>
        <w:spacing w:afterLines="72" w:after="172" w:line="240" w:lineRule="auto"/>
        <w:jc w:val="both"/>
        <w:rPr>
          <w:rFonts w:ascii="Verdana" w:hAnsi="Verdana"/>
          <w:sz w:val="21"/>
          <w:szCs w:val="21"/>
        </w:rPr>
      </w:pPr>
    </w:p>
    <w:p w14:paraId="6CB8FA96" w14:textId="77777777" w:rsidR="00422578" w:rsidRPr="004830D2" w:rsidRDefault="00422578" w:rsidP="00422578">
      <w:pPr>
        <w:spacing w:afterLines="72" w:after="172" w:line="240" w:lineRule="auto"/>
        <w:jc w:val="both"/>
        <w:rPr>
          <w:rFonts w:ascii="Verdana" w:hAnsi="Verdana"/>
          <w:sz w:val="21"/>
          <w:szCs w:val="21"/>
        </w:rPr>
      </w:pPr>
      <w:r w:rsidRPr="004830D2">
        <w:rPr>
          <w:rFonts w:ascii="Verdana" w:hAnsi="Verdana"/>
          <w:sz w:val="21"/>
          <w:szCs w:val="21"/>
        </w:rPr>
        <w:t xml:space="preserve">La mappatura dei processi e dei rischi associati legati alla prevenzione della corruzione è stata realizzata analizzando: </w:t>
      </w:r>
    </w:p>
    <w:p w14:paraId="0F7249ED" w14:textId="77777777" w:rsidR="00422578" w:rsidRDefault="00422578" w:rsidP="00327D29">
      <w:pPr>
        <w:numPr>
          <w:ilvl w:val="0"/>
          <w:numId w:val="16"/>
        </w:numPr>
        <w:spacing w:before="240" w:after="72" w:line="240" w:lineRule="auto"/>
        <w:ind w:left="426"/>
        <w:contextualSpacing/>
        <w:jc w:val="both"/>
        <w:rPr>
          <w:rFonts w:ascii="Verdana" w:hAnsi="Verdana"/>
          <w:sz w:val="21"/>
          <w:szCs w:val="21"/>
        </w:rPr>
      </w:pPr>
      <w:r w:rsidRPr="004830D2">
        <w:rPr>
          <w:rFonts w:ascii="Verdana" w:hAnsi="Verdana"/>
          <w:sz w:val="21"/>
          <w:szCs w:val="21"/>
        </w:rPr>
        <w:t xml:space="preserve">le aree di rischio individuate dal PNA come comuni a tutte le amministrazioni; i principali processi associati alle aree di rischio, individuati dal PNA come comuni a tutte le amministrazioni; </w:t>
      </w:r>
    </w:p>
    <w:p w14:paraId="2D585AF9" w14:textId="77777777" w:rsidR="00BB6788" w:rsidRPr="004830D2" w:rsidRDefault="00BB6788" w:rsidP="00BB6788">
      <w:pPr>
        <w:spacing w:before="240" w:after="72" w:line="240" w:lineRule="auto"/>
        <w:ind w:left="426"/>
        <w:contextualSpacing/>
        <w:jc w:val="both"/>
        <w:rPr>
          <w:rFonts w:ascii="Verdana" w:hAnsi="Verdana"/>
          <w:sz w:val="21"/>
          <w:szCs w:val="21"/>
        </w:rPr>
      </w:pPr>
    </w:p>
    <w:p w14:paraId="2E8ABF46" w14:textId="77777777" w:rsidR="00422578" w:rsidRDefault="00422578" w:rsidP="00327D29">
      <w:pPr>
        <w:numPr>
          <w:ilvl w:val="0"/>
          <w:numId w:val="16"/>
        </w:numPr>
        <w:spacing w:before="240" w:after="72" w:line="240" w:lineRule="auto"/>
        <w:ind w:left="426"/>
        <w:contextualSpacing/>
        <w:jc w:val="both"/>
        <w:rPr>
          <w:rFonts w:ascii="Verdana" w:hAnsi="Verdana"/>
          <w:sz w:val="21"/>
          <w:szCs w:val="21"/>
        </w:rPr>
      </w:pPr>
      <w:r w:rsidRPr="004830D2">
        <w:rPr>
          <w:rFonts w:ascii="Verdana" w:hAnsi="Verdana"/>
          <w:sz w:val="21"/>
          <w:szCs w:val="21"/>
        </w:rPr>
        <w:t>le aree di rischio individuate dal PNA come specifiche della Sanit</w:t>
      </w:r>
      <w:r>
        <w:rPr>
          <w:rFonts w:ascii="Verdana" w:hAnsi="Verdana"/>
          <w:sz w:val="21"/>
          <w:szCs w:val="21"/>
        </w:rPr>
        <w:t>à</w:t>
      </w:r>
      <w:r w:rsidRPr="004830D2">
        <w:rPr>
          <w:rFonts w:ascii="Verdana" w:hAnsi="Verdana"/>
          <w:sz w:val="21"/>
          <w:szCs w:val="21"/>
        </w:rPr>
        <w:t xml:space="preserve">; i principali processi associati alle aree di rischio, individuati dal PNA come specifici della Sanità; </w:t>
      </w:r>
    </w:p>
    <w:p w14:paraId="67A09553" w14:textId="77777777" w:rsidR="00BB6788" w:rsidRPr="004830D2" w:rsidRDefault="00BB6788" w:rsidP="00BB6788">
      <w:pPr>
        <w:spacing w:before="240" w:after="72" w:line="240" w:lineRule="auto"/>
        <w:ind w:left="426"/>
        <w:contextualSpacing/>
        <w:jc w:val="both"/>
        <w:rPr>
          <w:rFonts w:ascii="Verdana" w:hAnsi="Verdana"/>
          <w:sz w:val="21"/>
          <w:szCs w:val="21"/>
        </w:rPr>
      </w:pPr>
    </w:p>
    <w:p w14:paraId="608F075B" w14:textId="77777777" w:rsidR="00422578" w:rsidRPr="004830D2" w:rsidRDefault="00422578" w:rsidP="00327D29">
      <w:pPr>
        <w:numPr>
          <w:ilvl w:val="0"/>
          <w:numId w:val="17"/>
        </w:numPr>
        <w:spacing w:before="240" w:after="72" w:line="240" w:lineRule="auto"/>
        <w:ind w:left="426"/>
        <w:contextualSpacing/>
        <w:jc w:val="both"/>
        <w:rPr>
          <w:rFonts w:ascii="Verdana" w:hAnsi="Verdana"/>
          <w:sz w:val="21"/>
          <w:szCs w:val="21"/>
        </w:rPr>
      </w:pPr>
      <w:r w:rsidRPr="004830D2">
        <w:rPr>
          <w:rFonts w:ascii="Verdana" w:hAnsi="Verdana"/>
          <w:sz w:val="21"/>
          <w:szCs w:val="21"/>
        </w:rPr>
        <w:t>gli altri processi rilevanti per la struttura di MRI.</w:t>
      </w:r>
    </w:p>
    <w:p w14:paraId="6A1A09C5" w14:textId="77777777" w:rsidR="00422578" w:rsidRDefault="00422578" w:rsidP="00422578">
      <w:pPr>
        <w:spacing w:before="240" w:after="72" w:line="240" w:lineRule="auto"/>
        <w:contextualSpacing/>
        <w:jc w:val="both"/>
        <w:rPr>
          <w:rFonts w:ascii="Verdana" w:hAnsi="Verdana"/>
          <w:sz w:val="24"/>
          <w:szCs w:val="24"/>
        </w:rPr>
      </w:pPr>
    </w:p>
    <w:p w14:paraId="03F5B0FF" w14:textId="77777777" w:rsidR="00422578" w:rsidRDefault="00422578" w:rsidP="00422578">
      <w:pPr>
        <w:spacing w:before="240" w:after="72" w:line="240" w:lineRule="auto"/>
        <w:contextualSpacing/>
        <w:jc w:val="both"/>
        <w:rPr>
          <w:rFonts w:ascii="Verdana" w:hAnsi="Verdana"/>
          <w:sz w:val="21"/>
          <w:szCs w:val="21"/>
        </w:rPr>
      </w:pPr>
      <w:r w:rsidRPr="00BA07AF">
        <w:rPr>
          <w:rFonts w:ascii="Verdana" w:hAnsi="Verdana"/>
          <w:sz w:val="21"/>
          <w:szCs w:val="21"/>
        </w:rPr>
        <w:t>L’elenco dei processi mappati è contenuto nell’allegato 2 al presente PTPCT.</w:t>
      </w:r>
    </w:p>
    <w:p w14:paraId="0393E5BB" w14:textId="77777777" w:rsidR="00A2177C" w:rsidRDefault="00A2177C" w:rsidP="00422578">
      <w:pPr>
        <w:spacing w:before="240" w:after="72" w:line="240" w:lineRule="auto"/>
        <w:contextualSpacing/>
        <w:jc w:val="both"/>
        <w:rPr>
          <w:rFonts w:ascii="Verdana" w:hAnsi="Verdana"/>
          <w:sz w:val="21"/>
          <w:szCs w:val="21"/>
        </w:rPr>
      </w:pPr>
    </w:p>
    <w:p w14:paraId="5BE0E829" w14:textId="77777777" w:rsidR="009229B8" w:rsidRPr="008646AA" w:rsidRDefault="009229B8">
      <w:pPr>
        <w:spacing w:after="30" w:line="240" w:lineRule="auto"/>
        <w:jc w:val="both"/>
        <w:rPr>
          <w:rFonts w:ascii="Verdana" w:hAnsi="Verdana"/>
          <w:sz w:val="21"/>
          <w:szCs w:val="21"/>
        </w:rPr>
      </w:pPr>
    </w:p>
    <w:p w14:paraId="0B92B599" w14:textId="77777777" w:rsidR="007F3551" w:rsidRPr="007F3551" w:rsidRDefault="00DC28D5" w:rsidP="00D42866">
      <w:pPr>
        <w:pStyle w:val="Titolo1"/>
      </w:pPr>
      <w:bookmarkStart w:id="19" w:name="_Toc225863537"/>
      <w:r w:rsidRPr="009229B8">
        <w:t>H.VALUTAZIONE DEL RISCHIO</w:t>
      </w:r>
      <w:bookmarkEnd w:id="19"/>
      <w:r w:rsidRPr="009229B8">
        <w:t xml:space="preserve"> </w:t>
      </w:r>
      <w:r w:rsidR="0035780D">
        <w:rPr>
          <w:lang w:val="it-IT"/>
        </w:rPr>
        <w:t xml:space="preserve"> </w:t>
      </w:r>
    </w:p>
    <w:p w14:paraId="164D7192" w14:textId="77777777" w:rsidR="009229B8" w:rsidRPr="009229B8" w:rsidRDefault="009229B8">
      <w:pPr>
        <w:spacing w:after="72" w:line="240" w:lineRule="auto"/>
        <w:jc w:val="both"/>
        <w:rPr>
          <w:rFonts w:ascii="Verdana" w:hAnsi="Verdana"/>
          <w:sz w:val="10"/>
          <w:szCs w:val="21"/>
        </w:rPr>
      </w:pPr>
    </w:p>
    <w:p w14:paraId="56DC1C3C" w14:textId="553419BD" w:rsidR="006F6711" w:rsidRPr="004C20F6" w:rsidRDefault="00DC28D5">
      <w:pPr>
        <w:spacing w:after="72" w:line="240" w:lineRule="auto"/>
        <w:jc w:val="both"/>
        <w:rPr>
          <w:rFonts w:ascii="Verdana" w:hAnsi="Verdana"/>
          <w:sz w:val="21"/>
          <w:szCs w:val="21"/>
        </w:rPr>
      </w:pPr>
      <w:r w:rsidRPr="00DA488D">
        <w:rPr>
          <w:rFonts w:ascii="Verdana" w:hAnsi="Verdana"/>
          <w:sz w:val="21"/>
          <w:szCs w:val="21"/>
        </w:rPr>
        <w:t xml:space="preserve">ANAC con il PNA </w:t>
      </w:r>
      <w:r w:rsidR="00ED0486" w:rsidRPr="00DA488D">
        <w:rPr>
          <w:rFonts w:ascii="Verdana" w:hAnsi="Verdana"/>
          <w:sz w:val="21"/>
          <w:szCs w:val="21"/>
        </w:rPr>
        <w:t>2022</w:t>
      </w:r>
      <w:r w:rsidR="000470F0" w:rsidRPr="00DA488D">
        <w:rPr>
          <w:rFonts w:ascii="Verdana" w:hAnsi="Verdana"/>
          <w:sz w:val="21"/>
          <w:szCs w:val="21"/>
        </w:rPr>
        <w:t xml:space="preserve"> </w:t>
      </w:r>
      <w:r w:rsidR="000470F0" w:rsidRPr="00A2177C">
        <w:rPr>
          <w:rFonts w:ascii="Verdana" w:hAnsi="Verdana"/>
          <w:sz w:val="21"/>
          <w:szCs w:val="21"/>
        </w:rPr>
        <w:t xml:space="preserve">e suo </w:t>
      </w:r>
      <w:r w:rsidR="00643DDD" w:rsidRPr="00A2177C">
        <w:rPr>
          <w:rFonts w:ascii="Verdana" w:hAnsi="Verdana"/>
          <w:sz w:val="21"/>
          <w:szCs w:val="21"/>
        </w:rPr>
        <w:t>più recente</w:t>
      </w:r>
      <w:r w:rsidR="00643DDD">
        <w:rPr>
          <w:rFonts w:ascii="Verdana" w:hAnsi="Verdana"/>
          <w:color w:val="FF0000"/>
          <w:sz w:val="21"/>
          <w:szCs w:val="21"/>
        </w:rPr>
        <w:t xml:space="preserve"> </w:t>
      </w:r>
      <w:r w:rsidR="000470F0" w:rsidRPr="00DA488D">
        <w:rPr>
          <w:rFonts w:ascii="Verdana" w:hAnsi="Verdana"/>
          <w:sz w:val="21"/>
          <w:szCs w:val="21"/>
        </w:rPr>
        <w:t>aggiornamento 2023</w:t>
      </w:r>
      <w:r w:rsidR="00ED0486" w:rsidRPr="004C20F6">
        <w:rPr>
          <w:rFonts w:ascii="Verdana" w:hAnsi="Verdana"/>
          <w:sz w:val="21"/>
          <w:szCs w:val="21"/>
        </w:rPr>
        <w:t xml:space="preserve"> </w:t>
      </w:r>
      <w:r w:rsidRPr="004C20F6">
        <w:rPr>
          <w:rFonts w:ascii="Verdana" w:hAnsi="Verdana"/>
          <w:sz w:val="21"/>
          <w:szCs w:val="21"/>
        </w:rPr>
        <w:t xml:space="preserve">conferma le indicazioni sulla metodologia di analisi recate dai precedenti Piani, in considerazione del fatto che gli strumenti previsti dalla normativa anticorruzione richiedono un impegno costante anche in termini di comprensione effettiva della loro portata da parte delle amministrazioni e soprattutto degli enti di diritto privato controllati da Amministrazioni pubbliche e/o che curano un interesse pubblico, come MRI, per produrre gli effetti sperati. Per gli aspetti di valutazione del rischio, </w:t>
      </w:r>
      <w:r w:rsidR="00ED0486" w:rsidRPr="004C20F6">
        <w:rPr>
          <w:rFonts w:ascii="Verdana" w:hAnsi="Verdana"/>
          <w:sz w:val="21"/>
          <w:szCs w:val="21"/>
        </w:rPr>
        <w:t>suggerisce di adottare l’approccio di tipo qualitativo illustrato nel PNA 201</w:t>
      </w:r>
      <w:r w:rsidR="004C20F6" w:rsidRPr="004C20F6">
        <w:rPr>
          <w:rFonts w:ascii="Verdana" w:hAnsi="Verdana"/>
          <w:sz w:val="21"/>
          <w:szCs w:val="21"/>
        </w:rPr>
        <w:t xml:space="preserve">9 </w:t>
      </w:r>
      <w:r w:rsidRPr="004C20F6">
        <w:rPr>
          <w:rFonts w:ascii="Verdana" w:hAnsi="Verdana"/>
          <w:sz w:val="21"/>
          <w:szCs w:val="21"/>
        </w:rPr>
        <w:t>consentendone un’applicazione in modo graduale</w:t>
      </w:r>
      <w:r w:rsidR="005F2FF0" w:rsidRPr="004C20F6">
        <w:rPr>
          <w:rFonts w:ascii="Verdana" w:hAnsi="Verdana"/>
          <w:sz w:val="21"/>
          <w:szCs w:val="21"/>
        </w:rPr>
        <w:t>.</w:t>
      </w:r>
    </w:p>
    <w:p w14:paraId="191C3D05" w14:textId="77777777" w:rsidR="00DC28D5" w:rsidRPr="004C20F6" w:rsidRDefault="00DC28D5">
      <w:pPr>
        <w:spacing w:after="72" w:line="240" w:lineRule="auto"/>
        <w:jc w:val="both"/>
        <w:rPr>
          <w:rFonts w:ascii="Verdana" w:hAnsi="Verdana"/>
          <w:sz w:val="21"/>
          <w:szCs w:val="21"/>
        </w:rPr>
      </w:pPr>
      <w:r w:rsidRPr="004C20F6">
        <w:rPr>
          <w:rFonts w:ascii="Verdana" w:hAnsi="Verdana"/>
          <w:sz w:val="21"/>
          <w:szCs w:val="21"/>
        </w:rPr>
        <w:t>L’individuazione delle misure di prevenzione comporta</w:t>
      </w:r>
      <w:r w:rsidR="00643DDD">
        <w:rPr>
          <w:rFonts w:ascii="Verdana" w:hAnsi="Verdana"/>
          <w:sz w:val="21"/>
          <w:szCs w:val="21"/>
        </w:rPr>
        <w:t xml:space="preserve"> </w:t>
      </w:r>
      <w:r w:rsidR="00ED0486" w:rsidRPr="004C20F6">
        <w:rPr>
          <w:rFonts w:ascii="Verdana" w:hAnsi="Verdana"/>
          <w:sz w:val="21"/>
          <w:szCs w:val="21"/>
        </w:rPr>
        <w:t xml:space="preserve">un’attenta </w:t>
      </w:r>
      <w:r w:rsidRPr="004C20F6">
        <w:rPr>
          <w:rFonts w:ascii="Verdana" w:hAnsi="Verdana"/>
          <w:sz w:val="21"/>
          <w:szCs w:val="21"/>
        </w:rPr>
        <w:t xml:space="preserve">autoanalisi organizzativa, descritta nel precedente capitolo </w:t>
      </w:r>
      <w:r w:rsidR="00A972BD" w:rsidRPr="004C20F6">
        <w:rPr>
          <w:rFonts w:ascii="Verdana" w:hAnsi="Verdana"/>
          <w:sz w:val="21"/>
          <w:szCs w:val="21"/>
        </w:rPr>
        <w:t>G.</w:t>
      </w:r>
      <w:r w:rsidRPr="004C20F6">
        <w:rPr>
          <w:rFonts w:ascii="Verdana" w:hAnsi="Verdana"/>
          <w:sz w:val="21"/>
          <w:szCs w:val="21"/>
        </w:rPr>
        <w:t>, che deve tendere a conciliarsi con l’insieme delle azioni di miglioramento delle performance collegate a finalità tipiche dell’azione aziendale (efficienza, efficacia, economicità, sviluppo di competenze ecc.). A tal fine MRI considera fondamentale aver introdotto nel proprio sistema di premialità legato al raggiungimento degli obiettivi organizzativi e individuali assegnati ai dirigenti/responsabili anche l’attuazione delle misure definite nel PTPCT.</w:t>
      </w:r>
      <w:r w:rsidR="001A55CD" w:rsidRPr="004C20F6">
        <w:rPr>
          <w:rFonts w:ascii="Verdana" w:hAnsi="Verdana"/>
          <w:sz w:val="21"/>
          <w:szCs w:val="21"/>
        </w:rPr>
        <w:t xml:space="preserve"> </w:t>
      </w:r>
    </w:p>
    <w:p w14:paraId="6B5DB7DD" w14:textId="32708F43" w:rsidR="00DC28D5" w:rsidRDefault="00BB6788">
      <w:pPr>
        <w:spacing w:after="72" w:line="240" w:lineRule="auto"/>
        <w:jc w:val="both"/>
        <w:rPr>
          <w:rFonts w:ascii="Verdana" w:hAnsi="Verdana"/>
          <w:sz w:val="21"/>
          <w:szCs w:val="21"/>
        </w:rPr>
      </w:pPr>
      <w:r>
        <w:rPr>
          <w:rFonts w:ascii="Verdana" w:hAnsi="Verdana"/>
          <w:sz w:val="21"/>
          <w:szCs w:val="21"/>
        </w:rPr>
        <w:t>N</w:t>
      </w:r>
      <w:r w:rsidR="00DC28D5" w:rsidRPr="004C20F6">
        <w:rPr>
          <w:rFonts w:ascii="Verdana" w:hAnsi="Verdana"/>
          <w:sz w:val="21"/>
          <w:szCs w:val="21"/>
        </w:rPr>
        <w:t xml:space="preserve">ella fase di predisposizione del Piano </w:t>
      </w:r>
      <w:r w:rsidR="00DC28D5" w:rsidRPr="00BB6788">
        <w:rPr>
          <w:rFonts w:ascii="Verdana" w:hAnsi="Verdana"/>
          <w:sz w:val="21"/>
          <w:szCs w:val="21"/>
        </w:rPr>
        <w:t xml:space="preserve">si è </w:t>
      </w:r>
      <w:r w:rsidR="00FF29BA" w:rsidRPr="00BB6788">
        <w:rPr>
          <w:rFonts w:ascii="Verdana" w:hAnsi="Verdana"/>
          <w:sz w:val="21"/>
          <w:szCs w:val="21"/>
        </w:rPr>
        <w:t xml:space="preserve">altresì </w:t>
      </w:r>
      <w:r w:rsidR="00DC28D5" w:rsidRPr="00BB6788">
        <w:rPr>
          <w:rFonts w:ascii="Verdana" w:hAnsi="Verdana"/>
          <w:sz w:val="21"/>
          <w:szCs w:val="21"/>
        </w:rPr>
        <w:t xml:space="preserve">tenuto </w:t>
      </w:r>
      <w:r w:rsidR="00DC28D5" w:rsidRPr="004C20F6">
        <w:rPr>
          <w:rFonts w:ascii="Verdana" w:hAnsi="Verdana"/>
          <w:sz w:val="21"/>
          <w:szCs w:val="21"/>
        </w:rPr>
        <w:t>in debito conto del Modello di Organizzazione, di Gestione e Controllo ai sensi del D.Lgs. 231/2001 di MRI e di tutte le misure di mitigazione del rischio della corruzione in esso previste</w:t>
      </w:r>
      <w:r w:rsidR="004830D2" w:rsidRPr="004C20F6">
        <w:rPr>
          <w:rFonts w:ascii="Verdana" w:hAnsi="Verdana"/>
          <w:sz w:val="21"/>
          <w:szCs w:val="21"/>
        </w:rPr>
        <w:t>,</w:t>
      </w:r>
      <w:r w:rsidR="00DC28D5" w:rsidRPr="004C20F6">
        <w:rPr>
          <w:rFonts w:ascii="Verdana" w:hAnsi="Verdana"/>
          <w:sz w:val="21"/>
          <w:szCs w:val="21"/>
        </w:rPr>
        <w:t xml:space="preserve"> che </w:t>
      </w:r>
      <w:r w:rsidR="004830D2" w:rsidRPr="004C20F6">
        <w:rPr>
          <w:rFonts w:ascii="Verdana" w:hAnsi="Verdana"/>
          <w:sz w:val="21"/>
          <w:szCs w:val="21"/>
        </w:rPr>
        <w:t xml:space="preserve">– come già </w:t>
      </w:r>
      <w:r w:rsidR="00ED0486" w:rsidRPr="004C20F6">
        <w:rPr>
          <w:rFonts w:ascii="Verdana" w:hAnsi="Verdana"/>
          <w:sz w:val="21"/>
          <w:szCs w:val="21"/>
        </w:rPr>
        <w:t xml:space="preserve">ribadito più volte nel presente documento </w:t>
      </w:r>
      <w:r w:rsidR="004C20F6" w:rsidRPr="004C20F6">
        <w:rPr>
          <w:rFonts w:ascii="Verdana" w:hAnsi="Verdana"/>
          <w:sz w:val="21"/>
          <w:szCs w:val="21"/>
        </w:rPr>
        <w:t xml:space="preserve">- </w:t>
      </w:r>
      <w:r w:rsidR="00DC28D5" w:rsidRPr="004C20F6">
        <w:rPr>
          <w:rFonts w:ascii="Verdana" w:hAnsi="Verdana"/>
          <w:sz w:val="21"/>
          <w:szCs w:val="21"/>
        </w:rPr>
        <w:t>devono intendersi integrative d</w:t>
      </w:r>
      <w:r w:rsidR="00F6073A" w:rsidRPr="004C20F6">
        <w:rPr>
          <w:rFonts w:ascii="Verdana" w:hAnsi="Verdana"/>
          <w:sz w:val="21"/>
          <w:szCs w:val="21"/>
        </w:rPr>
        <w:t>e</w:t>
      </w:r>
      <w:r w:rsidR="00DC28D5" w:rsidRPr="004C20F6">
        <w:rPr>
          <w:rFonts w:ascii="Verdana" w:hAnsi="Verdana"/>
          <w:sz w:val="21"/>
          <w:szCs w:val="21"/>
        </w:rPr>
        <w:t>l</w:t>
      </w:r>
      <w:r w:rsidR="00ED0486" w:rsidRPr="004C20F6">
        <w:rPr>
          <w:rFonts w:ascii="Verdana" w:hAnsi="Verdana"/>
          <w:sz w:val="21"/>
          <w:szCs w:val="21"/>
        </w:rPr>
        <w:t>l'attuale</w:t>
      </w:r>
      <w:r w:rsidR="00DC28D5" w:rsidRPr="004C20F6">
        <w:rPr>
          <w:rFonts w:ascii="Verdana" w:hAnsi="Verdana"/>
          <w:sz w:val="21"/>
          <w:szCs w:val="21"/>
        </w:rPr>
        <w:t xml:space="preserve"> Piano</w:t>
      </w:r>
      <w:r w:rsidR="002A5B72" w:rsidRPr="004C20F6">
        <w:rPr>
          <w:rStyle w:val="Rimandonotaapidipagina"/>
          <w:rFonts w:ascii="Verdana" w:hAnsi="Verdana"/>
          <w:sz w:val="21"/>
          <w:szCs w:val="21"/>
          <w:lang w:eastAsia="it-IT"/>
        </w:rPr>
        <w:footnoteReference w:id="5"/>
      </w:r>
      <w:r w:rsidR="004C20F6" w:rsidRPr="004C20F6">
        <w:rPr>
          <w:rFonts w:ascii="Verdana" w:hAnsi="Verdana"/>
          <w:sz w:val="21"/>
          <w:szCs w:val="21"/>
        </w:rPr>
        <w:t>.</w:t>
      </w:r>
    </w:p>
    <w:p w14:paraId="1B1BC49A" w14:textId="1F709E0D" w:rsidR="006F6711" w:rsidRDefault="006F6711">
      <w:pPr>
        <w:spacing w:after="72" w:line="240" w:lineRule="auto"/>
        <w:jc w:val="both"/>
        <w:rPr>
          <w:rFonts w:ascii="Verdana" w:hAnsi="Verdana"/>
          <w:sz w:val="21"/>
          <w:szCs w:val="21"/>
        </w:rPr>
      </w:pPr>
      <w:r w:rsidRPr="006E3157">
        <w:rPr>
          <w:rFonts w:ascii="Verdana" w:hAnsi="Verdana"/>
          <w:sz w:val="21"/>
          <w:szCs w:val="21"/>
        </w:rPr>
        <w:t>Anche alla luce delle indicazioni sopravvenute con l’approvazione del nuovo PNA 2025, si è ritenuto che la Mappatura effettuata e rappresentata con l’allegato 2 al presente Piano sia corretta e rappresentativa della realtà dell’Istituto; sarà cura del RPCT e dell’ufficio di supporto utilizzare le indicazioni di dettaglio del PNA 2025 nel corso del monitoraggio attivo previsto durante l’anno 2026.</w:t>
      </w:r>
    </w:p>
    <w:p w14:paraId="05638B54" w14:textId="77777777" w:rsidR="00952C9D" w:rsidRPr="004C20F6" w:rsidRDefault="00952C9D">
      <w:pPr>
        <w:spacing w:after="72" w:line="240" w:lineRule="auto"/>
        <w:jc w:val="both"/>
        <w:rPr>
          <w:rFonts w:ascii="Verdana" w:hAnsi="Verdana"/>
          <w:sz w:val="21"/>
          <w:szCs w:val="21"/>
        </w:rPr>
      </w:pPr>
    </w:p>
    <w:p w14:paraId="56E4DAAC" w14:textId="77777777" w:rsidR="00DC28D5" w:rsidRDefault="00DC28D5" w:rsidP="00A64063">
      <w:pPr>
        <w:pStyle w:val="Titolo2"/>
        <w:spacing w:afterLines="72" w:after="172"/>
      </w:pPr>
      <w:bookmarkStart w:id="20" w:name="_Toc225863538"/>
      <w:r w:rsidRPr="00A95ACB">
        <w:t>H.</w:t>
      </w:r>
      <w:r w:rsidR="00A7219D">
        <w:rPr>
          <w:lang w:val="it-IT"/>
        </w:rPr>
        <w:t>1</w:t>
      </w:r>
      <w:r w:rsidRPr="00A95ACB">
        <w:t xml:space="preserve"> ANALISI E VALUTAZIONE DEI PROCESSI</w:t>
      </w:r>
      <w:bookmarkEnd w:id="20"/>
      <w:r w:rsidRPr="00A95ACB">
        <w:t xml:space="preserve"> </w:t>
      </w:r>
    </w:p>
    <w:p w14:paraId="24A5EB6D" w14:textId="77777777" w:rsidR="00DC28D5" w:rsidRPr="00BA07AF" w:rsidRDefault="00DC28D5" w:rsidP="00A64063">
      <w:pPr>
        <w:spacing w:afterLines="72" w:after="172" w:line="240" w:lineRule="auto"/>
        <w:jc w:val="both"/>
        <w:rPr>
          <w:rFonts w:ascii="Verdana" w:hAnsi="Verdana"/>
          <w:sz w:val="21"/>
          <w:szCs w:val="21"/>
        </w:rPr>
      </w:pPr>
      <w:r w:rsidRPr="006E19D4">
        <w:rPr>
          <w:rFonts w:ascii="Verdana" w:hAnsi="Verdana"/>
          <w:sz w:val="21"/>
          <w:szCs w:val="21"/>
        </w:rPr>
        <w:t xml:space="preserve">L’aggiornamento della mappatura delle aree esposte a rischio corruzione è stato effettuato </w:t>
      </w:r>
      <w:r w:rsidRPr="008321D4">
        <w:rPr>
          <w:rFonts w:ascii="Verdana" w:hAnsi="Verdana"/>
          <w:sz w:val="21"/>
          <w:szCs w:val="21"/>
        </w:rPr>
        <w:t>richiedendo al Coordinatore</w:t>
      </w:r>
      <w:r w:rsidR="00E86C4E" w:rsidRPr="008321D4">
        <w:rPr>
          <w:rFonts w:ascii="Verdana" w:hAnsi="Verdana"/>
          <w:sz w:val="21"/>
          <w:szCs w:val="21"/>
        </w:rPr>
        <w:t>/Responsabile</w:t>
      </w:r>
      <w:r w:rsidRPr="006E19D4">
        <w:rPr>
          <w:rFonts w:ascii="Verdana" w:hAnsi="Verdana"/>
          <w:sz w:val="21"/>
          <w:szCs w:val="21"/>
        </w:rPr>
        <w:t xml:space="preserve"> di riferimento per MRI di compilare, con il sussidio dell’Ufficio Prevenzione Corruzione e Trasparenza, la sezione di competenza segnalata nella tabella</w:t>
      </w:r>
      <w:r w:rsidR="006E19D4" w:rsidRPr="006E19D4">
        <w:rPr>
          <w:rFonts w:ascii="Verdana" w:hAnsi="Verdana"/>
          <w:sz w:val="21"/>
          <w:szCs w:val="21"/>
        </w:rPr>
        <w:t xml:space="preserve"> </w:t>
      </w:r>
      <w:r w:rsidR="006E19D4" w:rsidRPr="00BA07AF">
        <w:rPr>
          <w:rFonts w:ascii="Verdana" w:hAnsi="Verdana"/>
        </w:rPr>
        <w:t>“</w:t>
      </w:r>
      <w:r w:rsidR="00A97A29" w:rsidRPr="00BA07AF">
        <w:rPr>
          <w:rFonts w:ascii="Verdana" w:hAnsi="Verdana"/>
        </w:rPr>
        <w:t>Mappatura Aree di Rischio</w:t>
      </w:r>
      <w:r w:rsidR="002D0D2B" w:rsidRPr="00BA07AF">
        <w:rPr>
          <w:rFonts w:ascii="Verdana" w:hAnsi="Verdana"/>
        </w:rPr>
        <w:t>/Processi, Registro dei rischi e Misure Specifiche</w:t>
      </w:r>
      <w:r w:rsidRPr="00BA07AF">
        <w:rPr>
          <w:rFonts w:ascii="Verdana" w:hAnsi="Verdana"/>
          <w:sz w:val="21"/>
          <w:szCs w:val="21"/>
        </w:rPr>
        <w:t xml:space="preserve">” in cui devono essere riportati: </w:t>
      </w:r>
    </w:p>
    <w:p w14:paraId="0C458081" w14:textId="77777777" w:rsidR="004830D2"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le aree di rischio</w:t>
      </w:r>
      <w:r w:rsidR="00C311B1" w:rsidRPr="006E19D4">
        <w:rPr>
          <w:rFonts w:ascii="Verdana" w:hAnsi="Verdana"/>
          <w:sz w:val="21"/>
          <w:szCs w:val="21"/>
        </w:rPr>
        <w:t xml:space="preserve"> come individuate nel PNA</w:t>
      </w:r>
      <w:r w:rsidRPr="006E19D4">
        <w:rPr>
          <w:rFonts w:ascii="Verdana" w:hAnsi="Verdana"/>
          <w:sz w:val="21"/>
          <w:szCs w:val="21"/>
        </w:rPr>
        <w:t xml:space="preserve"> integrate con ulteriori riferimenti a rischio specifici delle attività e processi gestiti dalla Società; </w:t>
      </w:r>
    </w:p>
    <w:p w14:paraId="615F886A" w14:textId="77777777" w:rsidR="00DC28D5"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 xml:space="preserve">la descrizione del singolo processo di cui si valuta il rischio; </w:t>
      </w:r>
    </w:p>
    <w:p w14:paraId="29012326" w14:textId="77777777" w:rsidR="00DC28D5"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i protocolli di prevenzione implementati sul processo (procedure/regolamenti), sistema documentale e norme vincolanti applicate, strumenti di monitoraggio adottati;</w:t>
      </w:r>
    </w:p>
    <w:p w14:paraId="2BAE3E13" w14:textId="77777777" w:rsidR="00DC28D5"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la valutazione del grado di rischio di ciascun processo.</w:t>
      </w:r>
    </w:p>
    <w:p w14:paraId="56902D80" w14:textId="77777777" w:rsidR="00DC28D5" w:rsidRDefault="00DC28D5">
      <w:pPr>
        <w:spacing w:before="240" w:after="72" w:line="240" w:lineRule="auto"/>
        <w:ind w:left="720"/>
        <w:contextualSpacing/>
        <w:jc w:val="both"/>
        <w:rPr>
          <w:rFonts w:ascii="Verdana" w:hAnsi="Verdana"/>
          <w:sz w:val="24"/>
          <w:szCs w:val="24"/>
        </w:rPr>
      </w:pPr>
    </w:p>
    <w:p w14:paraId="742E7617" w14:textId="77777777" w:rsidR="00DC28D5" w:rsidRPr="004D175D" w:rsidRDefault="00DC28D5">
      <w:pPr>
        <w:pStyle w:val="Titolo2"/>
        <w:spacing w:after="72"/>
      </w:pPr>
      <w:bookmarkStart w:id="21" w:name="_Toc225863539"/>
      <w:r w:rsidRPr="0009315F">
        <w:rPr>
          <w:rFonts w:cs="Times New Roman"/>
          <w:lang w:eastAsia="it-IT"/>
        </w:rPr>
        <w:t>H.</w:t>
      </w:r>
      <w:r w:rsidR="00A7219D">
        <w:rPr>
          <w:rFonts w:cs="Times New Roman"/>
          <w:lang w:val="it-IT" w:eastAsia="it-IT"/>
        </w:rPr>
        <w:t>2</w:t>
      </w:r>
      <w:r w:rsidRPr="0009315F">
        <w:rPr>
          <w:rFonts w:cs="Times New Roman"/>
          <w:lang w:eastAsia="it-IT"/>
        </w:rPr>
        <w:t xml:space="preserve"> IDENTIFICAZIONE E VALUTAZIONE DEI </w:t>
      </w:r>
      <w:r w:rsidRPr="004D175D">
        <w:rPr>
          <w:rFonts w:cs="Times New Roman"/>
          <w:lang w:eastAsia="it-IT"/>
        </w:rPr>
        <w:t>RISCHI</w:t>
      </w:r>
      <w:bookmarkEnd w:id="21"/>
      <w:r w:rsidRPr="004D175D">
        <w:rPr>
          <w:rFonts w:cs="Times New Roman"/>
          <w:lang w:eastAsia="it-IT"/>
        </w:rPr>
        <w:t xml:space="preserve"> </w:t>
      </w:r>
    </w:p>
    <w:p w14:paraId="35755474" w14:textId="1C5647C4" w:rsidR="007C5886" w:rsidRPr="00FD5976" w:rsidRDefault="00DC28D5">
      <w:pPr>
        <w:spacing w:after="72" w:line="240" w:lineRule="auto"/>
        <w:jc w:val="both"/>
        <w:rPr>
          <w:rFonts w:ascii="Verdana" w:hAnsi="Verdana"/>
          <w:color w:val="FF0000"/>
          <w:sz w:val="21"/>
          <w:szCs w:val="21"/>
        </w:rPr>
      </w:pPr>
      <w:r w:rsidRPr="004D175D">
        <w:rPr>
          <w:rFonts w:ascii="Verdana" w:hAnsi="Verdana"/>
          <w:sz w:val="21"/>
          <w:szCs w:val="21"/>
        </w:rPr>
        <w:t xml:space="preserve">La metodologia di valutazione utilizzata nel presente piano </w:t>
      </w:r>
      <w:r w:rsidR="00177518" w:rsidRPr="004D175D">
        <w:rPr>
          <w:rFonts w:ascii="Verdana" w:hAnsi="Verdana"/>
          <w:sz w:val="21"/>
          <w:szCs w:val="21"/>
        </w:rPr>
        <w:t>integra la metodologia</w:t>
      </w:r>
      <w:r w:rsidR="00607717" w:rsidRPr="004D175D">
        <w:rPr>
          <w:rFonts w:ascii="Verdana" w:hAnsi="Verdana"/>
          <w:sz w:val="21"/>
          <w:szCs w:val="21"/>
        </w:rPr>
        <w:t xml:space="preserve"> di tipo quantitativo</w:t>
      </w:r>
      <w:r w:rsidR="008B7A1D" w:rsidRPr="004D175D">
        <w:rPr>
          <w:rFonts w:ascii="Verdana" w:hAnsi="Verdana"/>
          <w:sz w:val="21"/>
          <w:szCs w:val="21"/>
        </w:rPr>
        <w:t xml:space="preserve"> utilizzata nella redazione dei </w:t>
      </w:r>
      <w:r w:rsidR="008B7A1D" w:rsidRPr="00877E6F">
        <w:rPr>
          <w:rFonts w:ascii="Verdana" w:hAnsi="Verdana"/>
          <w:sz w:val="21"/>
          <w:szCs w:val="21"/>
        </w:rPr>
        <w:t>precedenti PTPC</w:t>
      </w:r>
      <w:r w:rsidR="004D175D" w:rsidRPr="00877E6F">
        <w:rPr>
          <w:rFonts w:ascii="Verdana" w:hAnsi="Verdana"/>
          <w:sz w:val="21"/>
          <w:szCs w:val="21"/>
        </w:rPr>
        <w:t xml:space="preserve"> fino al 2021</w:t>
      </w:r>
      <w:r w:rsidR="008B7A1D" w:rsidRPr="00877E6F">
        <w:rPr>
          <w:rFonts w:ascii="Verdana" w:hAnsi="Verdana"/>
          <w:sz w:val="21"/>
          <w:szCs w:val="21"/>
        </w:rPr>
        <w:t>, con una valutazione più qualitativa</w:t>
      </w:r>
      <w:r w:rsidR="00D24511" w:rsidRPr="00877E6F">
        <w:rPr>
          <w:rFonts w:ascii="Verdana" w:hAnsi="Verdana"/>
          <w:sz w:val="21"/>
          <w:szCs w:val="21"/>
        </w:rPr>
        <w:t xml:space="preserve"> </w:t>
      </w:r>
      <w:r w:rsidR="000A1671" w:rsidRPr="00877E6F">
        <w:rPr>
          <w:rFonts w:ascii="Verdana" w:hAnsi="Verdana"/>
          <w:sz w:val="21"/>
          <w:szCs w:val="21"/>
        </w:rPr>
        <w:t xml:space="preserve">basata su una scala di misurazione ordinale del rischio </w:t>
      </w:r>
      <w:r w:rsidR="000A1671" w:rsidRPr="004D175D">
        <w:rPr>
          <w:rFonts w:ascii="Verdana" w:hAnsi="Verdana"/>
          <w:sz w:val="21"/>
          <w:szCs w:val="21"/>
        </w:rPr>
        <w:t>qualificato come</w:t>
      </w:r>
      <w:r w:rsidR="000A1671" w:rsidRPr="008512D4">
        <w:rPr>
          <w:rFonts w:ascii="Verdana" w:hAnsi="Verdana"/>
          <w:sz w:val="21"/>
          <w:szCs w:val="21"/>
        </w:rPr>
        <w:t xml:space="preserve"> basso, medio, alto.</w:t>
      </w:r>
      <w:r w:rsidR="00FD5976">
        <w:rPr>
          <w:rFonts w:ascii="Verdana" w:hAnsi="Verdana"/>
          <w:sz w:val="21"/>
          <w:szCs w:val="21"/>
        </w:rPr>
        <w:t xml:space="preserve"> </w:t>
      </w:r>
    </w:p>
    <w:p w14:paraId="7135C8F8" w14:textId="77777777" w:rsidR="00DC28D5" w:rsidRPr="004830D2" w:rsidRDefault="00DC28D5">
      <w:pPr>
        <w:autoSpaceDE w:val="0"/>
        <w:spacing w:after="0" w:line="240" w:lineRule="auto"/>
        <w:jc w:val="both"/>
        <w:rPr>
          <w:rFonts w:ascii="Verdana" w:hAnsi="Verdana"/>
          <w:bCs/>
          <w:color w:val="000000"/>
          <w:sz w:val="21"/>
          <w:szCs w:val="21"/>
          <w:lang w:eastAsia="it-IT"/>
        </w:rPr>
      </w:pPr>
    </w:p>
    <w:p w14:paraId="376BC256" w14:textId="77777777" w:rsidR="00A65D8D" w:rsidRDefault="00DC28D5" w:rsidP="00A65D8D">
      <w:pPr>
        <w:autoSpaceDE w:val="0"/>
        <w:spacing w:after="0" w:line="240" w:lineRule="auto"/>
        <w:jc w:val="both"/>
        <w:rPr>
          <w:rFonts w:ascii="Verdana" w:hAnsi="Verdana"/>
          <w:sz w:val="21"/>
          <w:szCs w:val="21"/>
        </w:rPr>
      </w:pPr>
      <w:r w:rsidRPr="008D03FA">
        <w:rPr>
          <w:rFonts w:ascii="Verdana" w:hAnsi="Verdana"/>
          <w:bCs/>
          <w:sz w:val="21"/>
          <w:szCs w:val="21"/>
          <w:lang w:eastAsia="it-IT"/>
        </w:rPr>
        <w:t xml:space="preserve">Il Registro dei Rischi </w:t>
      </w:r>
      <w:r w:rsidR="000463FA" w:rsidRPr="008D03FA">
        <w:rPr>
          <w:rFonts w:ascii="Verdana" w:hAnsi="Verdana"/>
          <w:bCs/>
          <w:sz w:val="21"/>
          <w:szCs w:val="21"/>
          <w:lang w:eastAsia="it-IT"/>
        </w:rPr>
        <w:t>rappresenta</w:t>
      </w:r>
      <w:r w:rsidRPr="008D03FA">
        <w:rPr>
          <w:rFonts w:ascii="Verdana" w:hAnsi="Verdana"/>
          <w:bCs/>
          <w:sz w:val="21"/>
          <w:szCs w:val="21"/>
          <w:lang w:eastAsia="it-IT"/>
        </w:rPr>
        <w:t xml:space="preserve"> la matrice in cui vengono elencati i rischi connessi ai singoli processi descritti e la relativa misurazione attribuita secondo una valutazione ponderata del rischio che tiene conto</w:t>
      </w:r>
      <w:r w:rsidR="000463FA" w:rsidRPr="008D03FA">
        <w:rPr>
          <w:rFonts w:ascii="Verdana" w:hAnsi="Verdana"/>
          <w:bCs/>
          <w:sz w:val="21"/>
          <w:szCs w:val="21"/>
          <w:lang w:eastAsia="it-IT"/>
        </w:rPr>
        <w:t xml:space="preserve"> tra l’altro</w:t>
      </w:r>
      <w:r w:rsidRPr="008D03FA">
        <w:rPr>
          <w:rFonts w:ascii="Verdana" w:hAnsi="Verdana"/>
          <w:bCs/>
          <w:sz w:val="21"/>
          <w:szCs w:val="21"/>
          <w:lang w:eastAsia="it-IT"/>
        </w:rPr>
        <w:t xml:space="preserve"> di elementi quali: frequenza</w:t>
      </w:r>
      <w:r w:rsidR="00A93A58">
        <w:rPr>
          <w:rFonts w:ascii="Verdana" w:hAnsi="Verdana"/>
          <w:bCs/>
          <w:sz w:val="21"/>
          <w:szCs w:val="21"/>
          <w:lang w:eastAsia="it-IT"/>
        </w:rPr>
        <w:t xml:space="preserve">, </w:t>
      </w:r>
      <w:r w:rsidRPr="008D03FA">
        <w:rPr>
          <w:rFonts w:ascii="Verdana" w:hAnsi="Verdana"/>
          <w:bCs/>
          <w:sz w:val="21"/>
          <w:szCs w:val="21"/>
          <w:lang w:eastAsia="it-IT"/>
        </w:rPr>
        <w:t>impatto</w:t>
      </w:r>
      <w:r w:rsidR="00A93A58">
        <w:rPr>
          <w:rFonts w:ascii="Verdana" w:hAnsi="Verdana"/>
          <w:bCs/>
          <w:sz w:val="21"/>
          <w:szCs w:val="21"/>
          <w:lang w:eastAsia="it-IT"/>
        </w:rPr>
        <w:t xml:space="preserve">, </w:t>
      </w:r>
      <w:r w:rsidR="00A93A58" w:rsidRPr="00051804">
        <w:rPr>
          <w:rFonts w:ascii="Verdana" w:hAnsi="Verdana"/>
          <w:bCs/>
          <w:sz w:val="21"/>
          <w:szCs w:val="21"/>
          <w:lang w:eastAsia="it-IT"/>
        </w:rPr>
        <w:t>discrezionalità</w:t>
      </w:r>
      <w:r w:rsidRPr="00051804">
        <w:rPr>
          <w:rFonts w:ascii="Verdana" w:hAnsi="Verdana"/>
          <w:bCs/>
          <w:sz w:val="21"/>
          <w:szCs w:val="21"/>
          <w:lang w:eastAsia="it-IT"/>
        </w:rPr>
        <w:t>.</w:t>
      </w:r>
      <w:r w:rsidR="00FD5976">
        <w:rPr>
          <w:rFonts w:ascii="Verdana" w:hAnsi="Verdana"/>
          <w:bCs/>
          <w:sz w:val="21"/>
          <w:szCs w:val="21"/>
          <w:lang w:eastAsia="it-IT"/>
        </w:rPr>
        <w:t xml:space="preserve"> </w:t>
      </w:r>
      <w:r w:rsidR="00A65D8D" w:rsidRPr="008512D4">
        <w:rPr>
          <w:rFonts w:ascii="Verdana" w:hAnsi="Verdana"/>
          <w:sz w:val="21"/>
          <w:szCs w:val="21"/>
        </w:rPr>
        <w:t xml:space="preserve">Ogni rischio è stato calcolato, pertanto, partendo dal punteggio raggiunto nel 2021 combinando i valori di probabilità e di impatto (la probabilità indica la frequenza di accadimento degli specifici rischi, mentre l’impatto indica il danno che il verificarsi dell’evento rischioso causa a MRI) e soppesato dal Coordinatore alla luce della concreta attività del Servizio </w:t>
      </w:r>
      <w:r w:rsidR="00420A5A">
        <w:rPr>
          <w:rFonts w:ascii="Verdana" w:hAnsi="Verdana"/>
          <w:sz w:val="21"/>
          <w:szCs w:val="21"/>
        </w:rPr>
        <w:t>sulla base di un confronto con RPCT e gruppo di supporto</w:t>
      </w:r>
      <w:r w:rsidR="00A65D8D" w:rsidRPr="008512D4">
        <w:rPr>
          <w:rFonts w:ascii="Verdana" w:hAnsi="Verdana"/>
          <w:sz w:val="21"/>
          <w:szCs w:val="21"/>
        </w:rPr>
        <w:t>.</w:t>
      </w:r>
    </w:p>
    <w:p w14:paraId="3C0B3AFA" w14:textId="77777777" w:rsidR="00DC28D5" w:rsidRPr="008D03FA" w:rsidRDefault="00DC28D5">
      <w:pPr>
        <w:autoSpaceDE w:val="0"/>
        <w:spacing w:after="0" w:line="240" w:lineRule="auto"/>
        <w:jc w:val="both"/>
        <w:rPr>
          <w:rFonts w:ascii="Verdana" w:hAnsi="Verdana"/>
          <w:bCs/>
          <w:sz w:val="24"/>
          <w:szCs w:val="24"/>
          <w:lang w:eastAsia="it-IT"/>
        </w:rPr>
      </w:pPr>
    </w:p>
    <w:p w14:paraId="15E26B94" w14:textId="77777777" w:rsidR="00DC28D5" w:rsidRPr="008D03FA" w:rsidRDefault="000463FA" w:rsidP="004830D2">
      <w:pPr>
        <w:spacing w:line="240" w:lineRule="auto"/>
        <w:jc w:val="both"/>
        <w:rPr>
          <w:rFonts w:ascii="Verdana" w:hAnsi="Verdana"/>
          <w:sz w:val="21"/>
          <w:szCs w:val="21"/>
        </w:rPr>
      </w:pPr>
      <w:r w:rsidRPr="008D03FA">
        <w:rPr>
          <w:rFonts w:ascii="Verdana" w:hAnsi="Verdana"/>
          <w:sz w:val="21"/>
          <w:szCs w:val="21"/>
        </w:rPr>
        <w:t xml:space="preserve">Per </w:t>
      </w:r>
      <w:r w:rsidR="002D0D2B">
        <w:rPr>
          <w:rFonts w:ascii="Verdana" w:hAnsi="Verdana"/>
          <w:sz w:val="21"/>
          <w:szCs w:val="21"/>
        </w:rPr>
        <w:t>m</w:t>
      </w:r>
      <w:r w:rsidR="00DC28D5" w:rsidRPr="008D03FA">
        <w:rPr>
          <w:rFonts w:ascii="Verdana" w:hAnsi="Verdana"/>
          <w:sz w:val="21"/>
          <w:szCs w:val="21"/>
        </w:rPr>
        <w:t xml:space="preserve">appatura </w:t>
      </w:r>
      <w:r w:rsidR="002D0D2B">
        <w:rPr>
          <w:rFonts w:ascii="Verdana" w:hAnsi="Verdana"/>
          <w:sz w:val="21"/>
          <w:szCs w:val="21"/>
        </w:rPr>
        <w:t>a</w:t>
      </w:r>
      <w:r w:rsidR="00DC28D5" w:rsidRPr="008D03FA">
        <w:rPr>
          <w:rFonts w:ascii="Verdana" w:hAnsi="Verdana"/>
          <w:sz w:val="21"/>
          <w:szCs w:val="21"/>
        </w:rPr>
        <w:t xml:space="preserve">ree di </w:t>
      </w:r>
      <w:r w:rsidR="002D0D2B">
        <w:rPr>
          <w:rFonts w:ascii="Verdana" w:hAnsi="Verdana"/>
          <w:sz w:val="21"/>
          <w:szCs w:val="21"/>
        </w:rPr>
        <w:t>r</w:t>
      </w:r>
      <w:r w:rsidR="00DC28D5" w:rsidRPr="008D03FA">
        <w:rPr>
          <w:rFonts w:ascii="Verdana" w:hAnsi="Verdana"/>
          <w:sz w:val="21"/>
          <w:szCs w:val="21"/>
        </w:rPr>
        <w:t xml:space="preserve">ischio </w:t>
      </w:r>
      <w:r w:rsidRPr="008D03FA">
        <w:rPr>
          <w:rFonts w:ascii="Verdana" w:hAnsi="Verdana"/>
          <w:sz w:val="21"/>
          <w:szCs w:val="21"/>
        </w:rPr>
        <w:t xml:space="preserve">s’intende </w:t>
      </w:r>
      <w:r w:rsidR="00DC28D5" w:rsidRPr="008D03FA">
        <w:rPr>
          <w:rFonts w:ascii="Verdana" w:hAnsi="Verdana"/>
          <w:sz w:val="21"/>
          <w:szCs w:val="21"/>
        </w:rPr>
        <w:t xml:space="preserve">la matrice nella quale vengono individuate le misure specifiche che l’organizzazione della Società ha attuato, o da mettere in campo al fine di attenuare, per quanto possibile, i rischi connessi ai singoli processi che sono stati descritti. </w:t>
      </w:r>
    </w:p>
    <w:p w14:paraId="2A45CFAE" w14:textId="77777777" w:rsidR="008B7A1D" w:rsidRDefault="008B7A1D" w:rsidP="004830D2">
      <w:pPr>
        <w:spacing w:line="240" w:lineRule="auto"/>
        <w:jc w:val="both"/>
        <w:rPr>
          <w:rFonts w:ascii="Verdana" w:hAnsi="Verdana"/>
        </w:rPr>
      </w:pPr>
      <w:r w:rsidRPr="008D03FA">
        <w:rPr>
          <w:rFonts w:ascii="Verdana" w:hAnsi="Verdana"/>
          <w:sz w:val="21"/>
          <w:szCs w:val="21"/>
        </w:rPr>
        <w:t>Le suddette tabelle sono poi completate con una programmazione triennale delle azioni di monitoraggio</w:t>
      </w:r>
      <w:r w:rsidR="00A7219D">
        <w:rPr>
          <w:rFonts w:ascii="Verdana" w:hAnsi="Verdana"/>
          <w:sz w:val="21"/>
          <w:szCs w:val="21"/>
        </w:rPr>
        <w:t xml:space="preserve"> </w:t>
      </w:r>
      <w:r w:rsidR="00A7219D" w:rsidRPr="009063CB">
        <w:rPr>
          <w:rFonts w:ascii="Verdana" w:hAnsi="Verdana"/>
          <w:sz w:val="21"/>
          <w:szCs w:val="21"/>
        </w:rPr>
        <w:t>meglio descritta nel capitolo L</w:t>
      </w:r>
      <w:r w:rsidR="00125CEA" w:rsidRPr="008D03FA">
        <w:rPr>
          <w:rFonts w:ascii="Verdana" w:hAnsi="Verdana"/>
          <w:sz w:val="21"/>
          <w:szCs w:val="21"/>
        </w:rPr>
        <w:t xml:space="preserve"> e formano l’unitario Allegato 2 </w:t>
      </w:r>
      <w:r w:rsidR="00F02182">
        <w:rPr>
          <w:rFonts w:ascii="Verdana" w:hAnsi="Verdana"/>
          <w:sz w:val="21"/>
          <w:szCs w:val="21"/>
        </w:rPr>
        <w:t>dal titolo “</w:t>
      </w:r>
      <w:r w:rsidR="00F02182" w:rsidRPr="00BA07AF">
        <w:rPr>
          <w:rFonts w:ascii="Verdana" w:hAnsi="Verdana"/>
          <w:sz w:val="21"/>
          <w:szCs w:val="21"/>
        </w:rPr>
        <w:t>Mappatura Aree di Rischio</w:t>
      </w:r>
      <w:r w:rsidR="002D0D2B" w:rsidRPr="00BA07AF">
        <w:rPr>
          <w:rFonts w:ascii="Verdana" w:hAnsi="Verdana"/>
          <w:sz w:val="21"/>
          <w:szCs w:val="21"/>
        </w:rPr>
        <w:t>/Processi, Registro dei rischi e Misure Specifiche</w:t>
      </w:r>
      <w:r w:rsidR="00F02182" w:rsidRPr="00BA07AF">
        <w:rPr>
          <w:rFonts w:ascii="Verdana" w:hAnsi="Verdana"/>
          <w:sz w:val="21"/>
          <w:szCs w:val="21"/>
        </w:rPr>
        <w:t>”</w:t>
      </w:r>
      <w:r w:rsidR="00F02182">
        <w:rPr>
          <w:rFonts w:ascii="Verdana" w:hAnsi="Verdana"/>
          <w:sz w:val="21"/>
          <w:szCs w:val="21"/>
        </w:rPr>
        <w:t xml:space="preserve"> </w:t>
      </w:r>
      <w:r w:rsidR="00125CEA" w:rsidRPr="008D03FA">
        <w:rPr>
          <w:rFonts w:ascii="Verdana" w:hAnsi="Verdana"/>
          <w:sz w:val="21"/>
          <w:szCs w:val="21"/>
        </w:rPr>
        <w:t>che costituisce parte integrante del presente Piano.</w:t>
      </w:r>
      <w:r w:rsidR="00F02182" w:rsidRPr="00F02182">
        <w:rPr>
          <w:rFonts w:ascii="Verdana" w:hAnsi="Verdana"/>
        </w:rPr>
        <w:t xml:space="preserve"> </w:t>
      </w:r>
    </w:p>
    <w:p w14:paraId="533D018E" w14:textId="77777777" w:rsidR="00882241" w:rsidRPr="008D03FA" w:rsidRDefault="00882241" w:rsidP="004830D2">
      <w:pPr>
        <w:spacing w:line="240" w:lineRule="auto"/>
        <w:jc w:val="both"/>
        <w:rPr>
          <w:rFonts w:ascii="Verdana" w:hAnsi="Verdana"/>
          <w:sz w:val="21"/>
          <w:szCs w:val="21"/>
        </w:rPr>
      </w:pPr>
    </w:p>
    <w:p w14:paraId="66717907" w14:textId="77777777" w:rsidR="00DC28D5" w:rsidRPr="0009315F" w:rsidRDefault="00DC28D5">
      <w:pPr>
        <w:pStyle w:val="Titolo1"/>
        <w:numPr>
          <w:ilvl w:val="0"/>
          <w:numId w:val="0"/>
        </w:numPr>
        <w:rPr>
          <w:rFonts w:cs="Times New Roman"/>
          <w:bCs/>
          <w:lang w:eastAsia="it-IT"/>
        </w:rPr>
      </w:pPr>
      <w:bookmarkStart w:id="22" w:name="_Toc225863540"/>
      <w:r w:rsidRPr="0009315F">
        <w:rPr>
          <w:rFonts w:cs="Times New Roman"/>
          <w:bCs/>
          <w:lang w:eastAsia="it-IT"/>
        </w:rPr>
        <w:t xml:space="preserve">I. </w:t>
      </w:r>
      <w:r w:rsidR="00A97194" w:rsidRPr="0009315F">
        <w:rPr>
          <w:rFonts w:cs="Times New Roman"/>
          <w:bCs/>
          <w:lang w:val="it-IT" w:eastAsia="it-IT"/>
        </w:rPr>
        <w:t xml:space="preserve"> </w:t>
      </w:r>
      <w:r w:rsidRPr="0009315F">
        <w:rPr>
          <w:rFonts w:cs="Times New Roman"/>
          <w:bCs/>
          <w:lang w:eastAsia="it-IT"/>
        </w:rPr>
        <w:t xml:space="preserve">TRATTAMENTO DEL RISCHIO: PREVISIONE DELLE </w:t>
      </w:r>
      <w:r w:rsidRPr="0009315F">
        <w:rPr>
          <w:rFonts w:cs="Times New Roman"/>
          <w:lang w:eastAsia="it-IT"/>
        </w:rPr>
        <w:t>MISURE GENERALI</w:t>
      </w:r>
      <w:bookmarkEnd w:id="22"/>
      <w:r w:rsidRPr="0009315F">
        <w:rPr>
          <w:rFonts w:cs="Times New Roman"/>
          <w:lang w:eastAsia="it-IT"/>
        </w:rPr>
        <w:t xml:space="preserve"> </w:t>
      </w:r>
    </w:p>
    <w:p w14:paraId="2A3CF695" w14:textId="77777777" w:rsidR="00A95ACB" w:rsidRDefault="00A95ACB" w:rsidP="00A95ACB">
      <w:pPr>
        <w:pStyle w:val="Nessunaspaziatura"/>
      </w:pPr>
    </w:p>
    <w:p w14:paraId="7FCC8153" w14:textId="77777777" w:rsidR="00F161C3" w:rsidRPr="003D24D4" w:rsidRDefault="00DC28D5">
      <w:pPr>
        <w:spacing w:line="240" w:lineRule="auto"/>
        <w:jc w:val="both"/>
        <w:rPr>
          <w:rFonts w:ascii="Verdana" w:hAnsi="Verdana"/>
          <w:sz w:val="21"/>
          <w:szCs w:val="21"/>
        </w:rPr>
      </w:pPr>
      <w:r w:rsidRPr="003D24D4">
        <w:rPr>
          <w:rFonts w:ascii="Verdana" w:hAnsi="Verdana"/>
          <w:sz w:val="21"/>
          <w:szCs w:val="21"/>
        </w:rPr>
        <w:t>Per misura si intende ogni intervento organizzativo, iniziativa, azione o strumento di carattere preventivo ritenuto idoneo a neutralizzare o ridurre il livello di rischio. Le misure possono definirsi “generali” quanto si caratterizzano per la capacità di incidere sul sistema complessivo della prevenzione della corruzione, intervenendo in modo trasversale sull’intera amministrazione o società</w:t>
      </w:r>
      <w:r w:rsidR="00D65A06" w:rsidRPr="003D24D4">
        <w:rPr>
          <w:rFonts w:ascii="Verdana" w:hAnsi="Verdana"/>
          <w:sz w:val="21"/>
          <w:szCs w:val="21"/>
        </w:rPr>
        <w:t xml:space="preserve">. </w:t>
      </w:r>
    </w:p>
    <w:p w14:paraId="638A4D21" w14:textId="77777777" w:rsidR="007F66A2" w:rsidRDefault="00F161C3" w:rsidP="00686416">
      <w:pPr>
        <w:spacing w:line="240" w:lineRule="auto"/>
        <w:jc w:val="both"/>
        <w:rPr>
          <w:rFonts w:ascii="Verdana" w:hAnsi="Verdana"/>
          <w:sz w:val="21"/>
          <w:szCs w:val="21"/>
        </w:rPr>
      </w:pPr>
      <w:r w:rsidRPr="003D24D4">
        <w:rPr>
          <w:rFonts w:ascii="Verdana" w:hAnsi="Verdana"/>
          <w:sz w:val="21"/>
          <w:szCs w:val="21"/>
        </w:rPr>
        <w:t>Nei paragrafi che seguono sono</w:t>
      </w:r>
      <w:r w:rsidR="00DC28D5" w:rsidRPr="003D24D4">
        <w:rPr>
          <w:rFonts w:ascii="Verdana" w:hAnsi="Verdana"/>
          <w:sz w:val="21"/>
          <w:szCs w:val="21"/>
        </w:rPr>
        <w:t xml:space="preserve"> descritte </w:t>
      </w:r>
      <w:r w:rsidRPr="003D24D4">
        <w:rPr>
          <w:rFonts w:ascii="Verdana" w:hAnsi="Verdana"/>
          <w:sz w:val="21"/>
          <w:szCs w:val="21"/>
        </w:rPr>
        <w:t>le misure general</w:t>
      </w:r>
      <w:r w:rsidR="00925699">
        <w:rPr>
          <w:rFonts w:ascii="Verdana" w:hAnsi="Verdana"/>
          <w:sz w:val="21"/>
          <w:szCs w:val="21"/>
        </w:rPr>
        <w:t>i.</w:t>
      </w:r>
    </w:p>
    <w:p w14:paraId="4BBDCE1E" w14:textId="77777777" w:rsidR="004D6D03" w:rsidRDefault="004D6D03" w:rsidP="00686416">
      <w:pPr>
        <w:spacing w:line="240" w:lineRule="auto"/>
        <w:jc w:val="both"/>
        <w:rPr>
          <w:rFonts w:ascii="Verdana" w:hAnsi="Verdana"/>
          <w:sz w:val="21"/>
          <w:szCs w:val="21"/>
        </w:rPr>
      </w:pPr>
    </w:p>
    <w:p w14:paraId="4B993AA7" w14:textId="77777777" w:rsidR="00686416" w:rsidRDefault="00686416" w:rsidP="00686416">
      <w:pPr>
        <w:pStyle w:val="Titolo2"/>
        <w:spacing w:after="72"/>
        <w:rPr>
          <w:rFonts w:cs="Times New Roman"/>
          <w:lang w:eastAsia="it-IT"/>
        </w:rPr>
      </w:pPr>
      <w:bookmarkStart w:id="23" w:name="_Toc225863541"/>
      <w:r>
        <w:rPr>
          <w:rFonts w:cs="Times New Roman"/>
          <w:lang w:val="it-IT" w:eastAsia="it-IT"/>
        </w:rPr>
        <w:t>I.1 INCOMPATIBILIT</w:t>
      </w:r>
      <w:r w:rsidRPr="0009315F">
        <w:rPr>
          <w:rFonts w:cs="Times New Roman"/>
          <w:lang w:eastAsia="it-IT"/>
        </w:rPr>
        <w:t>À</w:t>
      </w:r>
      <w:r>
        <w:rPr>
          <w:rFonts w:cs="Times New Roman"/>
          <w:lang w:eastAsia="it-IT"/>
        </w:rPr>
        <w:t xml:space="preserve"> E INCONFERIBILIT</w:t>
      </w:r>
      <w:r w:rsidRPr="0009315F">
        <w:rPr>
          <w:rFonts w:cs="Times New Roman"/>
          <w:lang w:eastAsia="it-IT"/>
        </w:rPr>
        <w:t>À</w:t>
      </w:r>
      <w:r>
        <w:rPr>
          <w:rFonts w:cs="Times New Roman"/>
          <w:lang w:eastAsia="it-IT"/>
        </w:rPr>
        <w:t xml:space="preserve"> DEGLI INCARICHI</w:t>
      </w:r>
      <w:bookmarkEnd w:id="23"/>
    </w:p>
    <w:p w14:paraId="506BE5C5" w14:textId="77777777" w:rsidR="00686416" w:rsidRPr="00686416" w:rsidRDefault="00686416" w:rsidP="004D6D03">
      <w:pPr>
        <w:spacing w:after="72" w:line="240" w:lineRule="auto"/>
        <w:jc w:val="both"/>
        <w:rPr>
          <w:rFonts w:ascii="Verdana" w:hAnsi="Verdana"/>
          <w:sz w:val="21"/>
          <w:szCs w:val="21"/>
          <w:lang w:val="x-none" w:eastAsia="it-IT"/>
        </w:rPr>
      </w:pPr>
      <w:r w:rsidRPr="00686416">
        <w:rPr>
          <w:rFonts w:ascii="Verdana" w:hAnsi="Verdana"/>
          <w:sz w:val="21"/>
          <w:szCs w:val="21"/>
          <w:lang w:val="x-none" w:eastAsia="it-IT"/>
        </w:rPr>
        <w:t>Nell’arco del 202</w:t>
      </w:r>
      <w:r w:rsidR="00301F63">
        <w:rPr>
          <w:rFonts w:ascii="Verdana" w:hAnsi="Verdana"/>
          <w:sz w:val="21"/>
          <w:szCs w:val="21"/>
          <w:lang w:val="x-none" w:eastAsia="it-IT"/>
        </w:rPr>
        <w:t>5</w:t>
      </w:r>
      <w:r w:rsidRPr="00686416">
        <w:rPr>
          <w:rFonts w:ascii="Verdana" w:hAnsi="Verdana"/>
          <w:sz w:val="21"/>
          <w:szCs w:val="21"/>
          <w:lang w:val="x-none" w:eastAsia="it-IT"/>
        </w:rPr>
        <w:t xml:space="preserve"> non si sono registrate problematiche nella raccolta delle dichiarazioni necessarie né per il reclutamento di personale, né per le posizioni dirigenziali, né per i componenti delle commissioni.</w:t>
      </w:r>
    </w:p>
    <w:p w14:paraId="565A8CE2" w14:textId="490B94F7" w:rsidR="00686416" w:rsidRPr="00877E6F" w:rsidRDefault="00301F63" w:rsidP="004D6D03">
      <w:pPr>
        <w:spacing w:after="72" w:line="240" w:lineRule="auto"/>
        <w:jc w:val="both"/>
        <w:rPr>
          <w:rFonts w:ascii="Verdana" w:hAnsi="Verdana"/>
          <w:sz w:val="21"/>
          <w:szCs w:val="21"/>
          <w:lang w:val="x-none" w:eastAsia="it-IT"/>
        </w:rPr>
      </w:pPr>
      <w:r w:rsidRPr="00877E6F">
        <w:rPr>
          <w:rFonts w:ascii="Verdana" w:hAnsi="Verdana"/>
          <w:sz w:val="21"/>
          <w:szCs w:val="21"/>
          <w:lang w:val="x-none" w:eastAsia="it-IT"/>
        </w:rPr>
        <w:t xml:space="preserve">Come già </w:t>
      </w:r>
      <w:r w:rsidR="009D2E56" w:rsidRPr="00877E6F">
        <w:rPr>
          <w:rFonts w:ascii="Verdana" w:hAnsi="Verdana"/>
          <w:sz w:val="21"/>
          <w:szCs w:val="21"/>
          <w:lang w:val="x-none" w:eastAsia="it-IT"/>
        </w:rPr>
        <w:t xml:space="preserve">indicato </w:t>
      </w:r>
      <w:r w:rsidRPr="00877E6F">
        <w:rPr>
          <w:rFonts w:ascii="Verdana" w:hAnsi="Verdana"/>
          <w:sz w:val="21"/>
          <w:szCs w:val="21"/>
          <w:lang w:val="x-none" w:eastAsia="it-IT"/>
        </w:rPr>
        <w:t xml:space="preserve">al paragrafo </w:t>
      </w:r>
      <w:r w:rsidR="009D2E56" w:rsidRPr="00877E6F">
        <w:rPr>
          <w:rFonts w:ascii="Verdana" w:hAnsi="Verdana"/>
          <w:sz w:val="21"/>
          <w:szCs w:val="21"/>
          <w:lang w:val="x-none" w:eastAsia="it-IT"/>
        </w:rPr>
        <w:t>B</w:t>
      </w:r>
      <w:r w:rsidR="00877E6F" w:rsidRPr="00877E6F">
        <w:rPr>
          <w:rFonts w:ascii="Verdana" w:hAnsi="Verdana"/>
          <w:sz w:val="21"/>
          <w:szCs w:val="21"/>
          <w:lang w:val="x-none" w:eastAsia="it-IT"/>
        </w:rPr>
        <w:t xml:space="preserve"> “Processo di redazione e approvazione del PTPCT”,</w:t>
      </w:r>
      <w:r w:rsidRPr="00877E6F">
        <w:rPr>
          <w:rFonts w:ascii="Verdana" w:hAnsi="Verdana"/>
          <w:sz w:val="21"/>
          <w:szCs w:val="21"/>
          <w:lang w:val="x-none" w:eastAsia="it-IT"/>
        </w:rPr>
        <w:t xml:space="preserve"> è allo studio la recente delibera ANAC in materia</w:t>
      </w:r>
      <w:r w:rsidR="009D2E56" w:rsidRPr="00877E6F">
        <w:rPr>
          <w:rFonts w:ascii="Verdana" w:hAnsi="Verdana"/>
          <w:sz w:val="21"/>
          <w:szCs w:val="21"/>
          <w:lang w:val="x-none" w:eastAsia="it-IT"/>
        </w:rPr>
        <w:t xml:space="preserve"> n. 464/</w:t>
      </w:r>
      <w:r w:rsidR="009D2E56" w:rsidRPr="006E3157">
        <w:rPr>
          <w:rFonts w:ascii="Verdana" w:hAnsi="Verdana"/>
          <w:sz w:val="21"/>
          <w:szCs w:val="21"/>
          <w:lang w:val="x-none" w:eastAsia="it-IT"/>
        </w:rPr>
        <w:t>2025</w:t>
      </w:r>
      <w:r w:rsidR="006F6711" w:rsidRPr="006E3157">
        <w:rPr>
          <w:rFonts w:ascii="Verdana" w:hAnsi="Verdana"/>
          <w:sz w:val="21"/>
          <w:szCs w:val="21"/>
          <w:lang w:val="x-none" w:eastAsia="it-IT"/>
        </w:rPr>
        <w:t xml:space="preserve"> </w:t>
      </w:r>
      <w:r w:rsidR="005022E3" w:rsidRPr="006E3157">
        <w:rPr>
          <w:rFonts w:ascii="Verdana" w:hAnsi="Verdana"/>
          <w:sz w:val="21"/>
          <w:szCs w:val="21"/>
          <w:lang w:val="x-none" w:eastAsia="it-IT"/>
        </w:rPr>
        <w:t xml:space="preserve">ripresa </w:t>
      </w:r>
      <w:r w:rsidR="00366BE6" w:rsidRPr="006E3157">
        <w:rPr>
          <w:rFonts w:ascii="Verdana" w:hAnsi="Verdana"/>
          <w:sz w:val="21"/>
          <w:szCs w:val="21"/>
          <w:lang w:val="x-none" w:eastAsia="it-IT"/>
        </w:rPr>
        <w:t>nel</w:t>
      </w:r>
      <w:r w:rsidR="006F6711" w:rsidRPr="006E3157">
        <w:rPr>
          <w:rFonts w:ascii="Verdana" w:hAnsi="Verdana"/>
          <w:sz w:val="21"/>
          <w:szCs w:val="21"/>
          <w:lang w:val="x-none" w:eastAsia="it-IT"/>
        </w:rPr>
        <w:t xml:space="preserve"> capitolo ad hoc del nuovo PNA 2025</w:t>
      </w:r>
      <w:r w:rsidR="009D2E56" w:rsidRPr="006E3157">
        <w:rPr>
          <w:rFonts w:ascii="Verdana" w:hAnsi="Verdana"/>
          <w:sz w:val="21"/>
          <w:szCs w:val="21"/>
          <w:lang w:val="x-none" w:eastAsia="it-IT"/>
        </w:rPr>
        <w:t>,</w:t>
      </w:r>
      <w:r w:rsidRPr="006E3157">
        <w:rPr>
          <w:rFonts w:ascii="Verdana" w:hAnsi="Verdana"/>
          <w:sz w:val="21"/>
          <w:szCs w:val="21"/>
          <w:lang w:val="x-none" w:eastAsia="it-IT"/>
        </w:rPr>
        <w:t xml:space="preserve"> per valutare se sia </w:t>
      </w:r>
      <w:r w:rsidR="00686416" w:rsidRPr="006E3157">
        <w:rPr>
          <w:rFonts w:ascii="Verdana" w:hAnsi="Verdana"/>
          <w:sz w:val="21"/>
          <w:szCs w:val="21"/>
          <w:lang w:val="x-none" w:eastAsia="it-IT"/>
        </w:rPr>
        <w:t>necessario integrar</w:t>
      </w:r>
      <w:r w:rsidRPr="006E3157">
        <w:rPr>
          <w:rFonts w:ascii="Verdana" w:hAnsi="Verdana"/>
          <w:sz w:val="21"/>
          <w:szCs w:val="21"/>
          <w:lang w:val="x-none" w:eastAsia="it-IT"/>
        </w:rPr>
        <w:t>e</w:t>
      </w:r>
      <w:r w:rsidR="00686416" w:rsidRPr="006E3157">
        <w:rPr>
          <w:rFonts w:ascii="Verdana" w:hAnsi="Verdana"/>
          <w:sz w:val="21"/>
          <w:szCs w:val="21"/>
          <w:lang w:val="x-none" w:eastAsia="it-IT"/>
        </w:rPr>
        <w:t xml:space="preserve"> la documentazione aziendale</w:t>
      </w:r>
      <w:r w:rsidR="005070B0" w:rsidRPr="00877E6F">
        <w:rPr>
          <w:rFonts w:ascii="Verdana" w:hAnsi="Verdana"/>
          <w:sz w:val="21"/>
          <w:szCs w:val="21"/>
          <w:lang w:val="x-none" w:eastAsia="it-IT"/>
        </w:rPr>
        <w:t xml:space="preserve"> e come eventualmente processare</w:t>
      </w:r>
      <w:r w:rsidR="00307A3A" w:rsidRPr="00877E6F">
        <w:rPr>
          <w:rFonts w:ascii="Verdana" w:hAnsi="Verdana"/>
          <w:sz w:val="21"/>
          <w:szCs w:val="21"/>
          <w:lang w:val="x-none" w:eastAsia="it-IT"/>
        </w:rPr>
        <w:t xml:space="preserve"> la raccolta annuale</w:t>
      </w:r>
      <w:r w:rsidR="005070B0" w:rsidRPr="00877E6F">
        <w:rPr>
          <w:rFonts w:ascii="Verdana" w:hAnsi="Verdana"/>
          <w:sz w:val="21"/>
          <w:szCs w:val="21"/>
          <w:lang w:val="x-none" w:eastAsia="it-IT"/>
        </w:rPr>
        <w:t xml:space="preserve"> delle dichiarazioni</w:t>
      </w:r>
      <w:r w:rsidR="00686416" w:rsidRPr="00877E6F">
        <w:rPr>
          <w:rFonts w:ascii="Verdana" w:hAnsi="Verdana"/>
          <w:sz w:val="21"/>
          <w:szCs w:val="21"/>
          <w:lang w:val="x-none" w:eastAsia="it-IT"/>
        </w:rPr>
        <w:t>.</w:t>
      </w:r>
    </w:p>
    <w:p w14:paraId="6ADB9D87" w14:textId="77777777" w:rsidR="00EC72D2" w:rsidRPr="00A30039" w:rsidRDefault="00EC72D2">
      <w:pPr>
        <w:autoSpaceDE w:val="0"/>
        <w:spacing w:after="30" w:line="240" w:lineRule="auto"/>
        <w:jc w:val="both"/>
        <w:rPr>
          <w:rFonts w:ascii="Verdana" w:hAnsi="Verdana"/>
          <w:sz w:val="21"/>
          <w:szCs w:val="21"/>
        </w:rPr>
      </w:pPr>
    </w:p>
    <w:p w14:paraId="063745AC" w14:textId="77777777" w:rsidR="00DC28D5" w:rsidRDefault="00735CD9" w:rsidP="00DA488D">
      <w:pPr>
        <w:pStyle w:val="Titolo2"/>
        <w:spacing w:after="72"/>
        <w:rPr>
          <w:rFonts w:cs="Times New Roman"/>
          <w:lang w:val="it-IT" w:eastAsia="it-IT"/>
        </w:rPr>
      </w:pPr>
      <w:bookmarkStart w:id="24" w:name="_Toc225863542"/>
      <w:r>
        <w:rPr>
          <w:rFonts w:cs="Times New Roman"/>
          <w:lang w:val="it-IT" w:eastAsia="it-IT"/>
        </w:rPr>
        <w:t>I.2</w:t>
      </w:r>
      <w:r w:rsidR="00DC28D5" w:rsidRPr="0009315F">
        <w:rPr>
          <w:rFonts w:cs="Times New Roman"/>
          <w:lang w:val="it-IT" w:eastAsia="it-IT"/>
        </w:rPr>
        <w:t xml:space="preserve"> DIVIETO DI PANTOUFLAGE – DIVIETO DI POST EMPLOYMENT</w:t>
      </w:r>
      <w:bookmarkEnd w:id="24"/>
    </w:p>
    <w:p w14:paraId="11789441" w14:textId="77777777" w:rsidR="00AC2DE4" w:rsidRPr="00DA488D" w:rsidRDefault="00CC4BAD" w:rsidP="00882241">
      <w:pPr>
        <w:spacing w:after="72" w:line="240" w:lineRule="auto"/>
        <w:contextualSpacing/>
        <w:jc w:val="both"/>
        <w:rPr>
          <w:rFonts w:ascii="Verdana" w:hAnsi="Verdana"/>
          <w:sz w:val="21"/>
          <w:szCs w:val="21"/>
        </w:rPr>
      </w:pPr>
      <w:r w:rsidRPr="00DA488D">
        <w:rPr>
          <w:rFonts w:ascii="Verdana" w:hAnsi="Verdana"/>
          <w:sz w:val="21"/>
          <w:szCs w:val="21"/>
        </w:rPr>
        <w:t>Nel PNA 2022 è precisato che n</w:t>
      </w:r>
      <w:r w:rsidR="00526910" w:rsidRPr="00DA488D">
        <w:rPr>
          <w:rFonts w:ascii="Verdana" w:hAnsi="Verdana"/>
          <w:sz w:val="21"/>
          <w:szCs w:val="21"/>
        </w:rPr>
        <w:t xml:space="preserve">elle società in controllo pubblico il divieto </w:t>
      </w:r>
      <w:r w:rsidRPr="00DA488D">
        <w:rPr>
          <w:rFonts w:ascii="Verdana" w:hAnsi="Verdana"/>
          <w:sz w:val="21"/>
          <w:szCs w:val="21"/>
        </w:rPr>
        <w:t xml:space="preserve">di </w:t>
      </w:r>
      <w:proofErr w:type="spellStart"/>
      <w:r w:rsidR="00526910" w:rsidRPr="00DA488D">
        <w:rPr>
          <w:rFonts w:ascii="Verdana" w:hAnsi="Verdana"/>
          <w:sz w:val="21"/>
          <w:szCs w:val="21"/>
        </w:rPr>
        <w:t>pantouflage</w:t>
      </w:r>
      <w:proofErr w:type="spellEnd"/>
      <w:r w:rsidR="00526910" w:rsidRPr="00DA488D">
        <w:rPr>
          <w:rFonts w:ascii="Verdana" w:hAnsi="Verdana"/>
          <w:sz w:val="21"/>
          <w:szCs w:val="21"/>
        </w:rPr>
        <w:t xml:space="preserve"> </w:t>
      </w:r>
      <w:r w:rsidRPr="00DA488D">
        <w:rPr>
          <w:rFonts w:ascii="Verdana" w:hAnsi="Verdana"/>
          <w:sz w:val="21"/>
          <w:szCs w:val="21"/>
        </w:rPr>
        <w:t>trova applicazione con riferimento</w:t>
      </w:r>
      <w:r w:rsidR="00526910" w:rsidRPr="00DA488D">
        <w:rPr>
          <w:rFonts w:ascii="Verdana" w:hAnsi="Verdana"/>
          <w:sz w:val="21"/>
          <w:szCs w:val="21"/>
        </w:rPr>
        <w:t xml:space="preserve"> agli incarichi di cui all’art. 1 del D.Lgs. n. 39/2013</w:t>
      </w:r>
      <w:r w:rsidRPr="00DA488D">
        <w:rPr>
          <w:rFonts w:ascii="Verdana" w:hAnsi="Verdana"/>
          <w:sz w:val="21"/>
          <w:szCs w:val="21"/>
        </w:rPr>
        <w:t>, ovvero gli incarichi amministrativi di vertice, gli incarichi dirigenziali interni ed esterni,</w:t>
      </w:r>
      <w:r w:rsidR="00AC2DE4" w:rsidRPr="00DA488D">
        <w:rPr>
          <w:rFonts w:ascii="Verdana" w:hAnsi="Verdana"/>
          <w:sz w:val="21"/>
          <w:szCs w:val="21"/>
        </w:rPr>
        <w:t xml:space="preserve"> </w:t>
      </w:r>
      <w:r w:rsidRPr="00DA488D">
        <w:rPr>
          <w:rFonts w:ascii="Verdana" w:hAnsi="Verdana"/>
          <w:sz w:val="21"/>
          <w:szCs w:val="21"/>
        </w:rPr>
        <w:t>gli incarichi di amministratore</w:t>
      </w:r>
      <w:r w:rsidR="00AC2DE4" w:rsidRPr="00DA488D">
        <w:rPr>
          <w:rFonts w:ascii="Verdana" w:hAnsi="Verdana"/>
          <w:sz w:val="21"/>
          <w:szCs w:val="21"/>
        </w:rPr>
        <w:t>.</w:t>
      </w:r>
    </w:p>
    <w:p w14:paraId="59DC4100" w14:textId="0192F2FF" w:rsidR="0008036A" w:rsidRPr="00DA488D" w:rsidRDefault="00C57446" w:rsidP="00882241">
      <w:pPr>
        <w:spacing w:after="72" w:line="240" w:lineRule="auto"/>
        <w:contextualSpacing/>
        <w:jc w:val="both"/>
        <w:rPr>
          <w:rFonts w:ascii="Verdana" w:hAnsi="Verdana"/>
          <w:sz w:val="21"/>
          <w:szCs w:val="21"/>
        </w:rPr>
      </w:pPr>
      <w:r w:rsidRPr="00DA488D">
        <w:rPr>
          <w:rFonts w:ascii="Verdana" w:hAnsi="Verdana"/>
          <w:sz w:val="21"/>
          <w:szCs w:val="21"/>
        </w:rPr>
        <w:t>T</w:t>
      </w:r>
      <w:r w:rsidR="00AC2DE4" w:rsidRPr="00DA488D">
        <w:rPr>
          <w:rFonts w:ascii="Verdana" w:hAnsi="Verdana"/>
          <w:sz w:val="21"/>
          <w:szCs w:val="21"/>
        </w:rPr>
        <w:t>enuto conto delle specificità presenti</w:t>
      </w:r>
      <w:r w:rsidR="0008036A" w:rsidRPr="00DA488D">
        <w:rPr>
          <w:rFonts w:ascii="Verdana" w:hAnsi="Verdana"/>
          <w:sz w:val="21"/>
          <w:szCs w:val="21"/>
        </w:rPr>
        <w:t xml:space="preserve"> </w:t>
      </w:r>
      <w:r w:rsidR="00AC2DE4" w:rsidRPr="00DA488D">
        <w:rPr>
          <w:rFonts w:ascii="Verdana" w:hAnsi="Verdana"/>
          <w:sz w:val="21"/>
          <w:szCs w:val="21"/>
        </w:rPr>
        <w:t xml:space="preserve">per le società in controllo pubblico, della distribuzione dei poteri </w:t>
      </w:r>
      <w:r w:rsidR="0008036A" w:rsidRPr="00DA488D">
        <w:rPr>
          <w:rFonts w:ascii="Verdana" w:hAnsi="Verdana"/>
          <w:sz w:val="21"/>
          <w:szCs w:val="21"/>
        </w:rPr>
        <w:t xml:space="preserve">all’interno dell’organizzazione </w:t>
      </w:r>
      <w:r w:rsidR="00AC2DE4" w:rsidRPr="00DA488D">
        <w:rPr>
          <w:rFonts w:ascii="Verdana" w:hAnsi="Verdana"/>
          <w:sz w:val="21"/>
          <w:szCs w:val="21"/>
        </w:rPr>
        <w:t xml:space="preserve">e </w:t>
      </w:r>
      <w:r w:rsidR="0008036A" w:rsidRPr="00DA488D">
        <w:rPr>
          <w:rFonts w:ascii="Verdana" w:hAnsi="Verdana"/>
          <w:sz w:val="21"/>
          <w:szCs w:val="21"/>
        </w:rPr>
        <w:t>dell’assenza di compensi per l’organo amministrativo</w:t>
      </w:r>
      <w:r w:rsidR="009B4F98" w:rsidRPr="00DA488D">
        <w:rPr>
          <w:rFonts w:ascii="Verdana" w:hAnsi="Verdana"/>
          <w:sz w:val="21"/>
          <w:szCs w:val="21"/>
        </w:rPr>
        <w:t xml:space="preserve"> e</w:t>
      </w:r>
      <w:r w:rsidR="00A34B9F" w:rsidRPr="00DA488D">
        <w:rPr>
          <w:rFonts w:ascii="Verdana" w:hAnsi="Verdana"/>
          <w:sz w:val="21"/>
          <w:szCs w:val="21"/>
        </w:rPr>
        <w:t>,</w:t>
      </w:r>
      <w:r w:rsidR="009B4F98" w:rsidRPr="00DA488D">
        <w:rPr>
          <w:rFonts w:ascii="Verdana" w:hAnsi="Verdana"/>
          <w:sz w:val="21"/>
          <w:szCs w:val="21"/>
        </w:rPr>
        <w:t xml:space="preserve"> soprattutto</w:t>
      </w:r>
      <w:r w:rsidR="00A34B9F" w:rsidRPr="00DA488D">
        <w:rPr>
          <w:rFonts w:ascii="Verdana" w:hAnsi="Verdana"/>
          <w:sz w:val="21"/>
          <w:szCs w:val="21"/>
        </w:rPr>
        <w:t>,</w:t>
      </w:r>
      <w:r w:rsidR="009B4F98" w:rsidRPr="00DA488D">
        <w:rPr>
          <w:rFonts w:ascii="Verdana" w:hAnsi="Verdana"/>
          <w:sz w:val="21"/>
          <w:szCs w:val="21"/>
        </w:rPr>
        <w:t xml:space="preserve"> della natura privatistica del rapporto di lavoro che si instaura con i dipendenti, si ritiene che il divieto di post </w:t>
      </w:r>
      <w:proofErr w:type="spellStart"/>
      <w:r w:rsidR="009B4F98" w:rsidRPr="00DA488D">
        <w:rPr>
          <w:rFonts w:ascii="Verdana" w:hAnsi="Verdana"/>
          <w:sz w:val="21"/>
          <w:szCs w:val="21"/>
        </w:rPr>
        <w:t>employment</w:t>
      </w:r>
      <w:proofErr w:type="spellEnd"/>
      <w:r w:rsidR="009B4F98" w:rsidRPr="00DA488D">
        <w:rPr>
          <w:rFonts w:ascii="Verdana" w:hAnsi="Verdana"/>
          <w:sz w:val="21"/>
          <w:szCs w:val="21"/>
        </w:rPr>
        <w:t xml:space="preserve"> possa valere solo</w:t>
      </w:r>
      <w:r w:rsidR="00A34B9F" w:rsidRPr="00DA488D">
        <w:rPr>
          <w:rFonts w:ascii="Verdana" w:hAnsi="Verdana"/>
          <w:sz w:val="21"/>
          <w:szCs w:val="21"/>
        </w:rPr>
        <w:t xml:space="preserve"> </w:t>
      </w:r>
      <w:r w:rsidR="009B4F98" w:rsidRPr="00DA488D">
        <w:rPr>
          <w:rFonts w:ascii="Verdana" w:hAnsi="Verdana"/>
          <w:sz w:val="21"/>
          <w:szCs w:val="21"/>
        </w:rPr>
        <w:t xml:space="preserve">per Direttore </w:t>
      </w:r>
      <w:r w:rsidR="009B4F98" w:rsidRPr="009E3B0D">
        <w:rPr>
          <w:rFonts w:ascii="Verdana" w:hAnsi="Verdana"/>
          <w:sz w:val="21"/>
          <w:szCs w:val="21"/>
        </w:rPr>
        <w:t>Generale</w:t>
      </w:r>
      <w:r w:rsidR="009D2E56" w:rsidRPr="009E3B0D">
        <w:rPr>
          <w:rFonts w:ascii="Verdana" w:hAnsi="Verdana"/>
          <w:sz w:val="21"/>
          <w:szCs w:val="21"/>
        </w:rPr>
        <w:t>/Commissario Straordinario</w:t>
      </w:r>
      <w:r w:rsidR="00365D75" w:rsidRPr="00DA488D">
        <w:rPr>
          <w:rFonts w:ascii="Verdana" w:hAnsi="Verdana"/>
          <w:sz w:val="21"/>
          <w:szCs w:val="21"/>
        </w:rPr>
        <w:t>, Direttore Sanitario</w:t>
      </w:r>
      <w:r w:rsidR="00EC72D2" w:rsidRPr="00DA488D">
        <w:rPr>
          <w:rFonts w:ascii="Verdana" w:hAnsi="Verdana"/>
          <w:sz w:val="21"/>
          <w:szCs w:val="21"/>
        </w:rPr>
        <w:t>,</w:t>
      </w:r>
      <w:r w:rsidR="009B4F98" w:rsidRPr="00DA488D">
        <w:rPr>
          <w:rFonts w:ascii="Verdana" w:hAnsi="Verdana"/>
          <w:sz w:val="21"/>
          <w:szCs w:val="21"/>
        </w:rPr>
        <w:t xml:space="preserve"> Direttore </w:t>
      </w:r>
      <w:r w:rsidR="00EC72D2" w:rsidRPr="00DA488D">
        <w:rPr>
          <w:rFonts w:ascii="Verdana" w:hAnsi="Verdana"/>
          <w:sz w:val="21"/>
          <w:szCs w:val="21"/>
        </w:rPr>
        <w:t>dell’Area tecnico</w:t>
      </w:r>
      <w:r w:rsidR="0002573F" w:rsidRPr="00DA488D">
        <w:rPr>
          <w:rFonts w:ascii="Verdana" w:hAnsi="Verdana"/>
          <w:sz w:val="21"/>
          <w:szCs w:val="21"/>
        </w:rPr>
        <w:t>-a</w:t>
      </w:r>
      <w:r w:rsidR="009B4F98" w:rsidRPr="00DA488D">
        <w:rPr>
          <w:rFonts w:ascii="Verdana" w:hAnsi="Verdana"/>
          <w:sz w:val="21"/>
          <w:szCs w:val="21"/>
        </w:rPr>
        <w:t>mministrativ</w:t>
      </w:r>
      <w:r w:rsidR="00EC72D2" w:rsidRPr="00DA488D">
        <w:rPr>
          <w:rFonts w:ascii="Verdana" w:hAnsi="Verdana"/>
          <w:sz w:val="21"/>
          <w:szCs w:val="21"/>
        </w:rPr>
        <w:t>a e Direttore Scientifico</w:t>
      </w:r>
      <w:r w:rsidR="00A34B9F" w:rsidRPr="00DA488D">
        <w:rPr>
          <w:rFonts w:ascii="Verdana" w:hAnsi="Verdana"/>
          <w:sz w:val="21"/>
          <w:szCs w:val="21"/>
        </w:rPr>
        <w:t>, ossia</w:t>
      </w:r>
      <w:r w:rsidR="00014A61" w:rsidRPr="00DA488D">
        <w:rPr>
          <w:rFonts w:ascii="Verdana" w:hAnsi="Verdana"/>
          <w:sz w:val="21"/>
          <w:szCs w:val="21"/>
        </w:rPr>
        <w:t xml:space="preserve"> per</w:t>
      </w:r>
      <w:r w:rsidR="00A34B9F" w:rsidRPr="00DA488D">
        <w:rPr>
          <w:rFonts w:ascii="Verdana" w:hAnsi="Verdana"/>
          <w:sz w:val="21"/>
          <w:szCs w:val="21"/>
        </w:rPr>
        <w:t xml:space="preserve"> coloro i quali possono esercitare poteri autoritativi o </w:t>
      </w:r>
      <w:r w:rsidR="00A34B9F" w:rsidRPr="001A013D">
        <w:rPr>
          <w:rFonts w:ascii="Verdana" w:hAnsi="Verdana"/>
          <w:sz w:val="21"/>
          <w:szCs w:val="21"/>
        </w:rPr>
        <w:t>negoziali</w:t>
      </w:r>
      <w:r w:rsidR="00B96109" w:rsidRPr="001A013D">
        <w:rPr>
          <w:rFonts w:ascii="Verdana" w:hAnsi="Verdana"/>
          <w:sz w:val="21"/>
          <w:szCs w:val="21"/>
        </w:rPr>
        <w:t xml:space="preserve"> mediante l’adozione di provvedimenti atti </w:t>
      </w:r>
      <w:r w:rsidR="0002573F" w:rsidRPr="001A013D">
        <w:rPr>
          <w:rFonts w:ascii="Verdana" w:hAnsi="Verdana"/>
          <w:sz w:val="21"/>
          <w:szCs w:val="21"/>
        </w:rPr>
        <w:t>ad incidere in maniera determinante su un procedimento e quindi sul provvedimento finale</w:t>
      </w:r>
      <w:r w:rsidR="00365D75" w:rsidRPr="001A013D">
        <w:rPr>
          <w:rFonts w:ascii="Verdana" w:hAnsi="Verdana"/>
          <w:sz w:val="21"/>
          <w:szCs w:val="21"/>
        </w:rPr>
        <w:t>.</w:t>
      </w:r>
      <w:r w:rsidR="002F1C56" w:rsidRPr="001A013D">
        <w:rPr>
          <w:rFonts w:ascii="Verdana" w:hAnsi="Verdana"/>
          <w:sz w:val="21"/>
          <w:szCs w:val="21"/>
        </w:rPr>
        <w:t xml:space="preserve"> Tale orientamento non appare modificato alla luce delle Linee guida sul </w:t>
      </w:r>
      <w:proofErr w:type="spellStart"/>
      <w:r w:rsidR="002F1C56" w:rsidRPr="001A013D">
        <w:rPr>
          <w:rFonts w:ascii="Verdana" w:hAnsi="Verdana"/>
          <w:sz w:val="21"/>
          <w:szCs w:val="21"/>
        </w:rPr>
        <w:t>pantouflage</w:t>
      </w:r>
      <w:proofErr w:type="spellEnd"/>
      <w:r w:rsidR="002F1C56" w:rsidRPr="001A013D">
        <w:rPr>
          <w:rFonts w:ascii="Verdana" w:hAnsi="Verdana"/>
          <w:sz w:val="21"/>
          <w:szCs w:val="21"/>
        </w:rPr>
        <w:t xml:space="preserve"> emanate da ANAC nel 2024 (</w:t>
      </w:r>
      <w:r w:rsidR="0070038C" w:rsidRPr="001A013D">
        <w:rPr>
          <w:rFonts w:ascii="Verdana" w:hAnsi="Verdana"/>
          <w:sz w:val="21"/>
          <w:szCs w:val="21"/>
        </w:rPr>
        <w:t>L</w:t>
      </w:r>
      <w:r w:rsidR="002F1C56" w:rsidRPr="001A013D">
        <w:rPr>
          <w:rFonts w:ascii="Verdana" w:hAnsi="Verdana"/>
          <w:sz w:val="21"/>
          <w:szCs w:val="21"/>
        </w:rPr>
        <w:t xml:space="preserve">inee </w:t>
      </w:r>
      <w:r w:rsidR="0070038C" w:rsidRPr="001A013D">
        <w:rPr>
          <w:rFonts w:ascii="Verdana" w:hAnsi="Verdana"/>
          <w:sz w:val="21"/>
          <w:szCs w:val="21"/>
        </w:rPr>
        <w:t>G</w:t>
      </w:r>
      <w:r w:rsidR="002F1C56" w:rsidRPr="001A013D">
        <w:rPr>
          <w:rFonts w:ascii="Verdana" w:hAnsi="Verdana"/>
          <w:sz w:val="21"/>
          <w:szCs w:val="21"/>
        </w:rPr>
        <w:t xml:space="preserve">uida n. 1 </w:t>
      </w:r>
      <w:r w:rsidR="00B864B4" w:rsidRPr="001A013D">
        <w:rPr>
          <w:rFonts w:ascii="Verdana" w:hAnsi="Verdana"/>
          <w:sz w:val="21"/>
          <w:szCs w:val="21"/>
        </w:rPr>
        <w:t>–</w:t>
      </w:r>
      <w:r w:rsidR="002F1C56" w:rsidRPr="001A013D">
        <w:rPr>
          <w:rFonts w:ascii="Verdana" w:hAnsi="Verdana"/>
          <w:sz w:val="21"/>
          <w:szCs w:val="21"/>
        </w:rPr>
        <w:t xml:space="preserve"> </w:t>
      </w:r>
      <w:r w:rsidR="0070038C" w:rsidRPr="001A013D">
        <w:rPr>
          <w:rFonts w:ascii="Verdana" w:hAnsi="Verdana"/>
          <w:sz w:val="21"/>
          <w:szCs w:val="21"/>
        </w:rPr>
        <w:t>D</w:t>
      </w:r>
      <w:r w:rsidR="00B864B4" w:rsidRPr="001A013D">
        <w:rPr>
          <w:rFonts w:ascii="Verdana" w:hAnsi="Verdana"/>
          <w:sz w:val="21"/>
          <w:szCs w:val="21"/>
        </w:rPr>
        <w:t xml:space="preserve">elibera </w:t>
      </w:r>
      <w:r w:rsidR="0070038C" w:rsidRPr="001A013D">
        <w:rPr>
          <w:rFonts w:ascii="Verdana" w:hAnsi="Verdana"/>
          <w:sz w:val="21"/>
          <w:szCs w:val="21"/>
        </w:rPr>
        <w:t xml:space="preserve">n. </w:t>
      </w:r>
      <w:r w:rsidR="00B864B4" w:rsidRPr="001A013D">
        <w:rPr>
          <w:rFonts w:ascii="Verdana" w:hAnsi="Verdana"/>
          <w:sz w:val="21"/>
          <w:szCs w:val="21"/>
        </w:rPr>
        <w:t>493 del 25</w:t>
      </w:r>
      <w:r w:rsidR="0070038C" w:rsidRPr="001A013D">
        <w:rPr>
          <w:rFonts w:ascii="Verdana" w:hAnsi="Verdana"/>
          <w:sz w:val="21"/>
          <w:szCs w:val="21"/>
        </w:rPr>
        <w:t xml:space="preserve"> settembre 202</w:t>
      </w:r>
      <w:r w:rsidR="00B864B4" w:rsidRPr="001A013D">
        <w:rPr>
          <w:rFonts w:ascii="Verdana" w:hAnsi="Verdana"/>
          <w:sz w:val="21"/>
          <w:szCs w:val="21"/>
        </w:rPr>
        <w:t>4)</w:t>
      </w:r>
      <w:r w:rsidR="001A013D" w:rsidRPr="001A013D">
        <w:rPr>
          <w:rFonts w:ascii="Verdana" w:hAnsi="Verdana"/>
          <w:sz w:val="21"/>
          <w:szCs w:val="21"/>
        </w:rPr>
        <w:t>.</w:t>
      </w:r>
    </w:p>
    <w:p w14:paraId="71B69076" w14:textId="77777777" w:rsidR="0008036A" w:rsidRDefault="0008036A">
      <w:pPr>
        <w:spacing w:after="30"/>
        <w:contextualSpacing/>
        <w:jc w:val="both"/>
        <w:rPr>
          <w:rFonts w:ascii="Verdana" w:hAnsi="Verdana"/>
          <w:sz w:val="21"/>
          <w:szCs w:val="21"/>
        </w:rPr>
      </w:pPr>
    </w:p>
    <w:p w14:paraId="034F0D4B" w14:textId="77777777" w:rsidR="00DC28D5" w:rsidRDefault="00DC28D5" w:rsidP="00AA6C68">
      <w:pPr>
        <w:pStyle w:val="Titolo2"/>
        <w:spacing w:after="72"/>
        <w:rPr>
          <w:rFonts w:cs="Times New Roman"/>
        </w:rPr>
      </w:pPr>
      <w:bookmarkStart w:id="25" w:name="_Toc225863543"/>
      <w:r w:rsidRPr="0009315F">
        <w:rPr>
          <w:rFonts w:cs="Times New Roman"/>
          <w:szCs w:val="24"/>
        </w:rPr>
        <w:t xml:space="preserve">I.3 </w:t>
      </w:r>
      <w:r w:rsidRPr="0009315F">
        <w:rPr>
          <w:rFonts w:cs="Times New Roman"/>
        </w:rPr>
        <w:t>MISURE DI REGOLAMENTAZIONE</w:t>
      </w:r>
      <w:bookmarkEnd w:id="25"/>
    </w:p>
    <w:p w14:paraId="0ABDAB26" w14:textId="77777777" w:rsidR="009B4F98" w:rsidRPr="000B4791" w:rsidRDefault="00297434" w:rsidP="00882241">
      <w:pPr>
        <w:autoSpaceDE w:val="0"/>
        <w:spacing w:afterLines="72" w:after="172" w:line="240" w:lineRule="auto"/>
        <w:contextualSpacing/>
        <w:jc w:val="both"/>
        <w:rPr>
          <w:rFonts w:ascii="Verdana" w:hAnsi="Verdana"/>
          <w:sz w:val="21"/>
          <w:szCs w:val="21"/>
        </w:rPr>
      </w:pPr>
      <w:r w:rsidRPr="000B4791">
        <w:rPr>
          <w:rFonts w:ascii="Verdana" w:hAnsi="Verdana"/>
          <w:sz w:val="21"/>
          <w:szCs w:val="21"/>
        </w:rPr>
        <w:t xml:space="preserve">In </w:t>
      </w:r>
      <w:r w:rsidR="009B4F98" w:rsidRPr="000B4791">
        <w:rPr>
          <w:rFonts w:ascii="Verdana" w:hAnsi="Verdana"/>
          <w:sz w:val="21"/>
          <w:szCs w:val="21"/>
        </w:rPr>
        <w:t>occasione de</w:t>
      </w:r>
      <w:r w:rsidRPr="000B4791">
        <w:rPr>
          <w:rFonts w:ascii="Verdana" w:hAnsi="Verdana"/>
          <w:sz w:val="21"/>
          <w:szCs w:val="21"/>
        </w:rPr>
        <w:t xml:space="preserve">l rinnovo dell'accreditamento istituzionale dell'Ospedale, </w:t>
      </w:r>
      <w:r w:rsidR="009B4F98" w:rsidRPr="000B4791">
        <w:rPr>
          <w:rFonts w:ascii="Verdana" w:hAnsi="Verdana"/>
          <w:sz w:val="21"/>
          <w:szCs w:val="21"/>
        </w:rPr>
        <w:t xml:space="preserve">tra il </w:t>
      </w:r>
      <w:r w:rsidRPr="000B4791">
        <w:rPr>
          <w:rFonts w:ascii="Verdana" w:hAnsi="Verdana"/>
          <w:sz w:val="21"/>
          <w:szCs w:val="21"/>
        </w:rPr>
        <w:t xml:space="preserve">2022 </w:t>
      </w:r>
      <w:r w:rsidR="009B4F98" w:rsidRPr="000B4791">
        <w:rPr>
          <w:rFonts w:ascii="Verdana" w:hAnsi="Verdana"/>
          <w:sz w:val="21"/>
          <w:szCs w:val="21"/>
        </w:rPr>
        <w:t xml:space="preserve">e l’inizio del 2023 </w:t>
      </w:r>
      <w:r w:rsidRPr="000B4791">
        <w:rPr>
          <w:rFonts w:ascii="Verdana" w:hAnsi="Verdana"/>
          <w:sz w:val="21"/>
          <w:szCs w:val="21"/>
        </w:rPr>
        <w:t xml:space="preserve">sono stati analizzati i processi aziendali maggiormente critici, nell'ottica di un accrescimento della qualità e dell'efficienza delle azioni, con risvolti positivi anche nell'ambito della prevenzione della corruzione e della trasparenza. </w:t>
      </w:r>
    </w:p>
    <w:p w14:paraId="295B8D6D" w14:textId="235A0838" w:rsidR="00297434" w:rsidRPr="000B4791" w:rsidRDefault="009B4F98" w:rsidP="00882241">
      <w:pPr>
        <w:autoSpaceDE w:val="0"/>
        <w:spacing w:afterLines="72" w:after="172" w:line="240" w:lineRule="auto"/>
        <w:contextualSpacing/>
        <w:jc w:val="both"/>
        <w:rPr>
          <w:rFonts w:ascii="Verdana" w:hAnsi="Verdana"/>
          <w:sz w:val="21"/>
          <w:szCs w:val="21"/>
        </w:rPr>
      </w:pPr>
      <w:r w:rsidRPr="000B4791">
        <w:rPr>
          <w:rFonts w:ascii="Verdana" w:hAnsi="Verdana"/>
          <w:sz w:val="21"/>
          <w:szCs w:val="21"/>
        </w:rPr>
        <w:t>G</w:t>
      </w:r>
      <w:r w:rsidR="001618B4" w:rsidRPr="000B4791">
        <w:rPr>
          <w:rFonts w:ascii="Verdana" w:hAnsi="Verdana"/>
          <w:sz w:val="21"/>
          <w:szCs w:val="21"/>
        </w:rPr>
        <w:t>li atti/regolamenti oggetto di aggiornamento ritenuti più significativi</w:t>
      </w:r>
      <w:r w:rsidR="00B82BBB" w:rsidRPr="000B4791">
        <w:rPr>
          <w:rFonts w:ascii="Verdana" w:hAnsi="Verdana"/>
          <w:sz w:val="21"/>
          <w:szCs w:val="21"/>
        </w:rPr>
        <w:t xml:space="preserve"> per </w:t>
      </w:r>
      <w:r w:rsidR="00B20E45" w:rsidRPr="000B4791">
        <w:rPr>
          <w:rFonts w:ascii="Verdana" w:hAnsi="Verdana"/>
          <w:sz w:val="21"/>
          <w:szCs w:val="21"/>
        </w:rPr>
        <w:t xml:space="preserve">la prevenzione della corruzione e per il sistema </w:t>
      </w:r>
      <w:r w:rsidR="00B82BBB" w:rsidRPr="000B4791">
        <w:rPr>
          <w:rFonts w:ascii="Verdana" w:hAnsi="Verdana"/>
          <w:sz w:val="21"/>
          <w:szCs w:val="21"/>
        </w:rPr>
        <w:t>di cui al D.</w:t>
      </w:r>
      <w:r w:rsidR="009E3B0D">
        <w:rPr>
          <w:rFonts w:ascii="Verdana" w:hAnsi="Verdana"/>
          <w:sz w:val="21"/>
          <w:szCs w:val="21"/>
        </w:rPr>
        <w:t xml:space="preserve"> </w:t>
      </w:r>
      <w:r w:rsidR="00B82BBB" w:rsidRPr="000B4791">
        <w:rPr>
          <w:rFonts w:ascii="Verdana" w:hAnsi="Verdana"/>
          <w:sz w:val="21"/>
          <w:szCs w:val="21"/>
        </w:rPr>
        <w:t xml:space="preserve">Lgs. </w:t>
      </w:r>
      <w:r w:rsidR="00B20E45" w:rsidRPr="000B4791">
        <w:rPr>
          <w:rFonts w:ascii="Verdana" w:hAnsi="Verdana"/>
          <w:sz w:val="21"/>
          <w:szCs w:val="21"/>
        </w:rPr>
        <w:t>231</w:t>
      </w:r>
      <w:r w:rsidR="00B82BBB" w:rsidRPr="000B4791">
        <w:rPr>
          <w:rFonts w:ascii="Verdana" w:hAnsi="Verdana"/>
          <w:sz w:val="21"/>
          <w:szCs w:val="21"/>
        </w:rPr>
        <w:t>/2001</w:t>
      </w:r>
      <w:r w:rsidRPr="000B4791">
        <w:rPr>
          <w:rFonts w:ascii="Verdana" w:hAnsi="Verdana"/>
          <w:sz w:val="21"/>
          <w:szCs w:val="21"/>
        </w:rPr>
        <w:t xml:space="preserve"> sono stati oggetto di </w:t>
      </w:r>
      <w:r w:rsidR="00552054" w:rsidRPr="000B4791">
        <w:rPr>
          <w:rFonts w:ascii="Verdana" w:hAnsi="Verdana"/>
          <w:sz w:val="21"/>
          <w:szCs w:val="21"/>
        </w:rPr>
        <w:t>analisi</w:t>
      </w:r>
      <w:r w:rsidRPr="000B4791">
        <w:rPr>
          <w:rFonts w:ascii="Verdana" w:hAnsi="Verdana"/>
          <w:sz w:val="21"/>
          <w:szCs w:val="21"/>
        </w:rPr>
        <w:t xml:space="preserve"> da parte dell’Organismo di </w:t>
      </w:r>
      <w:r w:rsidR="00552054" w:rsidRPr="000B4791">
        <w:rPr>
          <w:rFonts w:ascii="Verdana" w:hAnsi="Verdana"/>
          <w:sz w:val="21"/>
          <w:szCs w:val="21"/>
        </w:rPr>
        <w:t>V</w:t>
      </w:r>
      <w:r w:rsidRPr="000B4791">
        <w:rPr>
          <w:rFonts w:ascii="Verdana" w:hAnsi="Verdana"/>
          <w:sz w:val="21"/>
          <w:szCs w:val="21"/>
        </w:rPr>
        <w:t>igilanza sia attraverso la verifica diretta del testo, sia attraverso una verifica di applicazione nei fatti</w:t>
      </w:r>
      <w:r w:rsidR="001618B4" w:rsidRPr="000B4791">
        <w:rPr>
          <w:rFonts w:ascii="Verdana" w:hAnsi="Verdana"/>
          <w:sz w:val="21"/>
          <w:szCs w:val="21"/>
        </w:rPr>
        <w:t>.</w:t>
      </w:r>
      <w:r w:rsidR="00297434" w:rsidRPr="000B4791">
        <w:rPr>
          <w:rFonts w:ascii="Verdana" w:hAnsi="Verdana"/>
          <w:sz w:val="21"/>
          <w:szCs w:val="21"/>
        </w:rPr>
        <w:t xml:space="preserve"> </w:t>
      </w:r>
    </w:p>
    <w:p w14:paraId="384D570B" w14:textId="77777777" w:rsidR="001618B4" w:rsidRPr="000B4791" w:rsidRDefault="001618B4" w:rsidP="00882241">
      <w:pPr>
        <w:autoSpaceDE w:val="0"/>
        <w:spacing w:afterLines="72" w:after="172" w:line="240" w:lineRule="auto"/>
        <w:contextualSpacing/>
        <w:jc w:val="both"/>
        <w:rPr>
          <w:rFonts w:ascii="Verdana" w:hAnsi="Verdana"/>
          <w:sz w:val="21"/>
          <w:szCs w:val="21"/>
        </w:rPr>
      </w:pPr>
    </w:p>
    <w:p w14:paraId="0A112464" w14:textId="5A222117" w:rsidR="009B4F98" w:rsidRDefault="009B4F98" w:rsidP="00882241">
      <w:pPr>
        <w:autoSpaceDE w:val="0"/>
        <w:spacing w:afterLines="72" w:after="172" w:line="240" w:lineRule="auto"/>
        <w:contextualSpacing/>
        <w:jc w:val="both"/>
        <w:rPr>
          <w:rFonts w:ascii="Verdana" w:hAnsi="Verdana"/>
          <w:sz w:val="21"/>
          <w:szCs w:val="21"/>
        </w:rPr>
      </w:pPr>
      <w:r w:rsidRPr="000B4791">
        <w:rPr>
          <w:rFonts w:ascii="Verdana" w:hAnsi="Verdana"/>
          <w:sz w:val="21"/>
          <w:szCs w:val="21"/>
        </w:rPr>
        <w:t>Si ritengono particolarmente rilevanti</w:t>
      </w:r>
      <w:r w:rsidR="00552054" w:rsidRPr="000B4791">
        <w:rPr>
          <w:rFonts w:ascii="Verdana" w:hAnsi="Verdana"/>
          <w:sz w:val="21"/>
          <w:szCs w:val="21"/>
        </w:rPr>
        <w:t xml:space="preserve"> le seguenti</w:t>
      </w:r>
      <w:r w:rsidR="003B1D21">
        <w:rPr>
          <w:rFonts w:ascii="Verdana" w:hAnsi="Verdana"/>
          <w:sz w:val="21"/>
          <w:szCs w:val="21"/>
        </w:rPr>
        <w:t xml:space="preserve"> </w:t>
      </w:r>
      <w:r w:rsidR="00552054" w:rsidRPr="000B4791">
        <w:rPr>
          <w:rFonts w:ascii="Verdana" w:hAnsi="Verdana"/>
          <w:sz w:val="21"/>
          <w:szCs w:val="21"/>
        </w:rPr>
        <w:t>misure regolamentari</w:t>
      </w:r>
      <w:r w:rsidR="008420FF">
        <w:rPr>
          <w:rFonts w:ascii="Verdana" w:hAnsi="Verdana"/>
          <w:sz w:val="21"/>
          <w:szCs w:val="21"/>
        </w:rPr>
        <w:t xml:space="preserve"> del 2025</w:t>
      </w:r>
      <w:r w:rsidRPr="000B4791">
        <w:rPr>
          <w:rFonts w:ascii="Verdana" w:hAnsi="Verdana"/>
          <w:sz w:val="21"/>
          <w:szCs w:val="21"/>
        </w:rPr>
        <w:t>:</w:t>
      </w:r>
    </w:p>
    <w:p w14:paraId="12A6518E" w14:textId="77777777" w:rsidR="009E3B0D" w:rsidRPr="000B4791" w:rsidRDefault="009E3B0D" w:rsidP="00882241">
      <w:pPr>
        <w:autoSpaceDE w:val="0"/>
        <w:spacing w:afterLines="72" w:after="172" w:line="240" w:lineRule="auto"/>
        <w:contextualSpacing/>
        <w:jc w:val="both"/>
        <w:rPr>
          <w:rFonts w:ascii="Verdana" w:hAnsi="Verdana"/>
          <w:sz w:val="21"/>
          <w:szCs w:val="21"/>
        </w:rPr>
      </w:pPr>
    </w:p>
    <w:p w14:paraId="625359B8" w14:textId="5A213832" w:rsidR="009E3B0D" w:rsidRPr="009E3B0D" w:rsidRDefault="0075762A" w:rsidP="009E3B0D">
      <w:pPr>
        <w:numPr>
          <w:ilvl w:val="0"/>
          <w:numId w:val="6"/>
        </w:numPr>
        <w:autoSpaceDE w:val="0"/>
        <w:spacing w:afterLines="72" w:after="172" w:line="240" w:lineRule="auto"/>
        <w:contextualSpacing/>
        <w:jc w:val="both"/>
        <w:rPr>
          <w:rFonts w:ascii="Verdana" w:hAnsi="Verdana"/>
          <w:sz w:val="21"/>
          <w:szCs w:val="21"/>
        </w:rPr>
      </w:pPr>
      <w:r w:rsidRPr="0075762A">
        <w:rPr>
          <w:rFonts w:ascii="Verdana" w:hAnsi="Verdana"/>
          <w:sz w:val="21"/>
          <w:szCs w:val="21"/>
        </w:rPr>
        <w:t>semplificazione</w:t>
      </w:r>
      <w:r w:rsidR="009B4F98" w:rsidRPr="0075762A">
        <w:rPr>
          <w:rFonts w:ascii="Verdana" w:hAnsi="Verdana"/>
          <w:sz w:val="21"/>
          <w:szCs w:val="21"/>
        </w:rPr>
        <w:t xml:space="preserve"> della modulistica per la </w:t>
      </w:r>
      <w:r w:rsidR="00571FD1" w:rsidRPr="0075762A">
        <w:rPr>
          <w:rFonts w:ascii="Verdana" w:hAnsi="Verdana"/>
          <w:sz w:val="21"/>
          <w:szCs w:val="21"/>
        </w:rPr>
        <w:t>raccolta del</w:t>
      </w:r>
      <w:r w:rsidR="00DC28D5" w:rsidRPr="0075762A">
        <w:rPr>
          <w:rFonts w:ascii="Verdana" w:hAnsi="Verdana"/>
          <w:sz w:val="21"/>
          <w:szCs w:val="21"/>
        </w:rPr>
        <w:t>le dichiarazioni di assenza di conflitti di interesse</w:t>
      </w:r>
      <w:r w:rsidR="00B864B4" w:rsidRPr="009E3B0D">
        <w:rPr>
          <w:rFonts w:ascii="Verdana" w:hAnsi="Verdana"/>
          <w:sz w:val="21"/>
          <w:szCs w:val="21"/>
        </w:rPr>
        <w:t xml:space="preserve">: nel 2025 </w:t>
      </w:r>
      <w:r w:rsidR="00DE493F" w:rsidRPr="009E3B0D">
        <w:rPr>
          <w:rFonts w:ascii="Verdana" w:hAnsi="Verdana"/>
          <w:sz w:val="21"/>
          <w:szCs w:val="21"/>
        </w:rPr>
        <w:t xml:space="preserve">è stato </w:t>
      </w:r>
      <w:r w:rsidR="00B864B4" w:rsidRPr="009E3B0D">
        <w:rPr>
          <w:rFonts w:ascii="Verdana" w:hAnsi="Verdana"/>
          <w:sz w:val="21"/>
          <w:szCs w:val="21"/>
        </w:rPr>
        <w:t>ado</w:t>
      </w:r>
      <w:r w:rsidR="00DE493F" w:rsidRPr="009E3B0D">
        <w:rPr>
          <w:rFonts w:ascii="Verdana" w:hAnsi="Verdana"/>
          <w:sz w:val="21"/>
          <w:szCs w:val="21"/>
        </w:rPr>
        <w:t>ttato</w:t>
      </w:r>
      <w:r w:rsidR="00B864B4" w:rsidRPr="009E3B0D">
        <w:rPr>
          <w:rFonts w:ascii="Verdana" w:hAnsi="Verdana"/>
          <w:sz w:val="21"/>
          <w:szCs w:val="21"/>
        </w:rPr>
        <w:t xml:space="preserve"> un unico modulo </w:t>
      </w:r>
      <w:r w:rsidR="00DE493F" w:rsidRPr="009E3B0D">
        <w:rPr>
          <w:rFonts w:ascii="Verdana" w:hAnsi="Verdana"/>
          <w:sz w:val="21"/>
          <w:szCs w:val="21"/>
        </w:rPr>
        <w:t>(</w:t>
      </w:r>
      <w:r w:rsidR="003B1D21" w:rsidRPr="009E3B0D">
        <w:rPr>
          <w:rFonts w:ascii="Verdana" w:hAnsi="Verdana"/>
          <w:sz w:val="21"/>
          <w:szCs w:val="21"/>
        </w:rPr>
        <w:t>M</w:t>
      </w:r>
      <w:r w:rsidR="00DE493F" w:rsidRPr="009E3B0D">
        <w:rPr>
          <w:rFonts w:ascii="Verdana" w:hAnsi="Verdana"/>
          <w:sz w:val="21"/>
          <w:szCs w:val="21"/>
        </w:rPr>
        <w:t xml:space="preserve">301) indirizzato a </w:t>
      </w:r>
      <w:r w:rsidR="00B864B4" w:rsidRPr="009E3B0D">
        <w:rPr>
          <w:rFonts w:ascii="Verdana" w:hAnsi="Verdana"/>
          <w:sz w:val="21"/>
          <w:szCs w:val="21"/>
        </w:rPr>
        <w:t xml:space="preserve">tutte le fattispecie finora </w:t>
      </w:r>
      <w:r w:rsidRPr="009E3B0D">
        <w:rPr>
          <w:rFonts w:ascii="Verdana" w:hAnsi="Verdana"/>
          <w:sz w:val="21"/>
          <w:szCs w:val="21"/>
        </w:rPr>
        <w:t>trattate</w:t>
      </w:r>
      <w:r w:rsidR="00B864B4" w:rsidRPr="009E3B0D">
        <w:rPr>
          <w:rFonts w:ascii="Verdana" w:hAnsi="Verdana"/>
          <w:sz w:val="21"/>
          <w:szCs w:val="21"/>
        </w:rPr>
        <w:t xml:space="preserve"> per categorie diverse di interlocutori (dipendenti, consulenti alla pari, consulenti</w:t>
      </w:r>
      <w:r w:rsidR="003B1D21" w:rsidRPr="009E3B0D">
        <w:rPr>
          <w:rFonts w:ascii="Verdana" w:hAnsi="Verdana"/>
          <w:sz w:val="21"/>
          <w:szCs w:val="21"/>
        </w:rPr>
        <w:t>/collaboratori</w:t>
      </w:r>
      <w:r w:rsidR="00B864B4" w:rsidRPr="009E3B0D">
        <w:rPr>
          <w:rFonts w:ascii="Verdana" w:hAnsi="Verdana"/>
          <w:sz w:val="21"/>
          <w:szCs w:val="21"/>
        </w:rPr>
        <w:t>)</w:t>
      </w:r>
    </w:p>
    <w:p w14:paraId="7DCFC9E4" w14:textId="77777777" w:rsidR="008420FF" w:rsidRPr="009E3B0D" w:rsidRDefault="008420FF" w:rsidP="00327D29">
      <w:pPr>
        <w:numPr>
          <w:ilvl w:val="0"/>
          <w:numId w:val="6"/>
        </w:numPr>
        <w:autoSpaceDE w:val="0"/>
        <w:spacing w:afterLines="72" w:after="172" w:line="240" w:lineRule="auto"/>
        <w:contextualSpacing/>
        <w:jc w:val="both"/>
        <w:rPr>
          <w:rFonts w:ascii="Verdana" w:hAnsi="Verdana"/>
          <w:sz w:val="21"/>
          <w:szCs w:val="21"/>
        </w:rPr>
      </w:pPr>
      <w:r w:rsidRPr="009E3B0D">
        <w:rPr>
          <w:rFonts w:ascii="Verdana" w:hAnsi="Verdana"/>
          <w:sz w:val="21"/>
          <w:szCs w:val="21"/>
        </w:rPr>
        <w:t>revisione del regolamento sull’accesso degli informatori del farmaco (Doc27, revisione ottobre 2025)</w:t>
      </w:r>
    </w:p>
    <w:p w14:paraId="2E406B30" w14:textId="2201FA0D" w:rsidR="006872B2" w:rsidRPr="009E3B0D" w:rsidRDefault="006872B2" w:rsidP="006872B2">
      <w:pPr>
        <w:pStyle w:val="Paragrafoelenco"/>
        <w:numPr>
          <w:ilvl w:val="0"/>
          <w:numId w:val="6"/>
        </w:numPr>
        <w:jc w:val="both"/>
        <w:rPr>
          <w:rFonts w:ascii="Verdana" w:hAnsi="Verdana"/>
          <w:sz w:val="21"/>
          <w:szCs w:val="21"/>
        </w:rPr>
      </w:pPr>
      <w:r w:rsidRPr="009E3B0D">
        <w:rPr>
          <w:rFonts w:ascii="Verdana" w:hAnsi="Verdana"/>
          <w:sz w:val="21"/>
          <w:szCs w:val="21"/>
        </w:rPr>
        <w:t xml:space="preserve">revisione dell’IO 48 sul rilascio delle cartelle cliniche di adeguamento alla sentenza della Corte di Giustizia Europea che ha stabilito </w:t>
      </w:r>
      <w:r w:rsidR="001638F2" w:rsidRPr="009E3B0D">
        <w:rPr>
          <w:rFonts w:ascii="Verdana" w:hAnsi="Verdana"/>
          <w:sz w:val="21"/>
          <w:szCs w:val="21"/>
        </w:rPr>
        <w:t>l’obbligo di</w:t>
      </w:r>
      <w:r w:rsidRPr="009E3B0D">
        <w:rPr>
          <w:rFonts w:ascii="Verdana" w:hAnsi="Verdana"/>
          <w:sz w:val="21"/>
          <w:szCs w:val="21"/>
        </w:rPr>
        <w:t xml:space="preserve"> rilasciare gratuitamente la prima copia della cartella clinica</w:t>
      </w:r>
      <w:r w:rsidR="00393F7C" w:rsidRPr="009E3B0D">
        <w:rPr>
          <w:rFonts w:ascii="Verdana" w:hAnsi="Verdana"/>
          <w:sz w:val="21"/>
          <w:szCs w:val="21"/>
        </w:rPr>
        <w:t>, in analogia alle aziende sanitarie regionali</w:t>
      </w:r>
      <w:r w:rsidRPr="009E3B0D">
        <w:rPr>
          <w:rFonts w:ascii="Verdana" w:hAnsi="Verdana"/>
          <w:sz w:val="21"/>
          <w:szCs w:val="21"/>
        </w:rPr>
        <w:t>.</w:t>
      </w:r>
    </w:p>
    <w:p w14:paraId="649F731E" w14:textId="77777777" w:rsidR="00DC28D5" w:rsidRDefault="00DC28D5" w:rsidP="00AA6C68">
      <w:pPr>
        <w:pStyle w:val="Titolo2"/>
        <w:spacing w:after="72"/>
        <w:rPr>
          <w:rFonts w:cs="Times New Roman"/>
          <w:lang w:val="it-IT" w:eastAsia="it-IT"/>
        </w:rPr>
      </w:pPr>
      <w:bookmarkStart w:id="26" w:name="_Toc225863544"/>
      <w:r w:rsidRPr="0009315F">
        <w:rPr>
          <w:rFonts w:cs="Times New Roman"/>
          <w:lang w:val="it-IT" w:eastAsia="it-IT"/>
        </w:rPr>
        <w:t xml:space="preserve">I.4 MISURE RELATIVE AGLI </w:t>
      </w:r>
      <w:r w:rsidRPr="0009315F">
        <w:rPr>
          <w:rFonts w:cs="Times New Roman"/>
          <w:lang w:eastAsia="it-IT"/>
        </w:rPr>
        <w:t xml:space="preserve">ACQUISTI </w:t>
      </w:r>
      <w:r w:rsidRPr="0009315F">
        <w:rPr>
          <w:rFonts w:cs="Times New Roman"/>
          <w:lang w:val="it-IT" w:eastAsia="it-IT"/>
        </w:rPr>
        <w:t>E ALLA GESTIONE DEI CONTRATTI</w:t>
      </w:r>
      <w:bookmarkEnd w:id="26"/>
    </w:p>
    <w:p w14:paraId="54103012" w14:textId="77777777" w:rsidR="009B4F98" w:rsidRPr="009613C6" w:rsidRDefault="009B4F98" w:rsidP="00AA6C68">
      <w:pPr>
        <w:shd w:val="clear" w:color="auto" w:fill="FFFFFF"/>
        <w:spacing w:after="72" w:line="240" w:lineRule="auto"/>
        <w:contextualSpacing/>
        <w:jc w:val="both"/>
        <w:rPr>
          <w:rFonts w:ascii="Verdana" w:hAnsi="Verdana"/>
          <w:sz w:val="21"/>
          <w:szCs w:val="21"/>
        </w:rPr>
      </w:pPr>
      <w:r w:rsidRPr="009613C6">
        <w:rPr>
          <w:rFonts w:ascii="Verdana" w:hAnsi="Verdana"/>
          <w:sz w:val="21"/>
          <w:szCs w:val="21"/>
        </w:rPr>
        <w:t>Quest</w:t>
      </w:r>
      <w:r w:rsidR="0019232A" w:rsidRPr="009613C6">
        <w:rPr>
          <w:rFonts w:ascii="Verdana" w:hAnsi="Verdana"/>
          <w:sz w:val="21"/>
          <w:szCs w:val="21"/>
        </w:rPr>
        <w:t>’</w:t>
      </w:r>
      <w:r w:rsidRPr="009613C6">
        <w:rPr>
          <w:rFonts w:ascii="Verdana" w:hAnsi="Verdana"/>
          <w:sz w:val="21"/>
          <w:szCs w:val="21"/>
        </w:rPr>
        <w:t>area è stata oggett</w:t>
      </w:r>
      <w:r w:rsidR="0019232A" w:rsidRPr="009613C6">
        <w:rPr>
          <w:rFonts w:ascii="Verdana" w:hAnsi="Verdana"/>
          <w:sz w:val="21"/>
          <w:szCs w:val="21"/>
        </w:rPr>
        <w:t>o di</w:t>
      </w:r>
      <w:r w:rsidRPr="009613C6">
        <w:rPr>
          <w:rFonts w:ascii="Verdana" w:hAnsi="Verdana"/>
          <w:sz w:val="21"/>
          <w:szCs w:val="21"/>
        </w:rPr>
        <w:t xml:space="preserve"> un radicale cambiamento normativo </w:t>
      </w:r>
      <w:r w:rsidR="00F24B64" w:rsidRPr="009613C6">
        <w:rPr>
          <w:rFonts w:ascii="Verdana" w:hAnsi="Verdana"/>
          <w:sz w:val="21"/>
          <w:szCs w:val="21"/>
        </w:rPr>
        <w:t>dap</w:t>
      </w:r>
      <w:r w:rsidRPr="009613C6">
        <w:rPr>
          <w:rFonts w:ascii="Verdana" w:hAnsi="Verdana"/>
          <w:sz w:val="21"/>
          <w:szCs w:val="21"/>
        </w:rPr>
        <w:t xml:space="preserve">prima con l’entrata in vigore del Nuovo Codice degli </w:t>
      </w:r>
      <w:r w:rsidR="0019232A" w:rsidRPr="009613C6">
        <w:rPr>
          <w:rFonts w:ascii="Verdana" w:hAnsi="Verdana"/>
          <w:sz w:val="21"/>
          <w:szCs w:val="21"/>
        </w:rPr>
        <w:t>A</w:t>
      </w:r>
      <w:r w:rsidRPr="009613C6">
        <w:rPr>
          <w:rFonts w:ascii="Verdana" w:hAnsi="Verdana"/>
          <w:sz w:val="21"/>
          <w:szCs w:val="21"/>
        </w:rPr>
        <w:t>ppalti e poi con le conseguenti indicazioni di ANAC contenute nel</w:t>
      </w:r>
      <w:r w:rsidR="0019232A" w:rsidRPr="009613C6">
        <w:rPr>
          <w:rFonts w:ascii="Verdana" w:hAnsi="Verdana"/>
          <w:sz w:val="21"/>
          <w:szCs w:val="21"/>
        </w:rPr>
        <w:t xml:space="preserve">l’aggiornamento di </w:t>
      </w:r>
      <w:r w:rsidR="00076DF6" w:rsidRPr="009613C6">
        <w:rPr>
          <w:rFonts w:ascii="Verdana" w:hAnsi="Verdana"/>
          <w:sz w:val="21"/>
          <w:szCs w:val="21"/>
        </w:rPr>
        <w:t>dicembre</w:t>
      </w:r>
      <w:r w:rsidR="0019232A" w:rsidRPr="009613C6">
        <w:rPr>
          <w:rFonts w:ascii="Verdana" w:hAnsi="Verdana"/>
          <w:sz w:val="21"/>
          <w:szCs w:val="21"/>
        </w:rPr>
        <w:t xml:space="preserve"> 2023 del</w:t>
      </w:r>
      <w:r w:rsidRPr="009613C6">
        <w:rPr>
          <w:rFonts w:ascii="Verdana" w:hAnsi="Verdana"/>
          <w:sz w:val="21"/>
          <w:szCs w:val="21"/>
        </w:rPr>
        <w:t xml:space="preserve"> Piano Nazionale Anticorruzione </w:t>
      </w:r>
      <w:r w:rsidR="0019232A" w:rsidRPr="009613C6">
        <w:rPr>
          <w:rFonts w:ascii="Verdana" w:hAnsi="Verdana"/>
          <w:sz w:val="21"/>
          <w:szCs w:val="21"/>
        </w:rPr>
        <w:t>2022</w:t>
      </w:r>
      <w:r w:rsidRPr="009613C6">
        <w:rPr>
          <w:rFonts w:ascii="Verdana" w:hAnsi="Verdana"/>
          <w:sz w:val="21"/>
          <w:szCs w:val="21"/>
        </w:rPr>
        <w:t>.</w:t>
      </w:r>
    </w:p>
    <w:p w14:paraId="0C110B24" w14:textId="77777777" w:rsidR="00AA6C68" w:rsidRPr="009613C6" w:rsidRDefault="00AA6C68" w:rsidP="00AA6C68">
      <w:pPr>
        <w:shd w:val="clear" w:color="auto" w:fill="FFFFFF"/>
        <w:spacing w:after="72" w:line="240" w:lineRule="auto"/>
        <w:contextualSpacing/>
        <w:jc w:val="both"/>
        <w:rPr>
          <w:rFonts w:ascii="Verdana" w:hAnsi="Verdana"/>
          <w:sz w:val="21"/>
          <w:szCs w:val="21"/>
        </w:rPr>
      </w:pPr>
    </w:p>
    <w:p w14:paraId="04E52D70" w14:textId="30B21E9E" w:rsidR="009B4F98" w:rsidRPr="00DE493F" w:rsidRDefault="009B4F98">
      <w:pPr>
        <w:shd w:val="clear" w:color="auto" w:fill="FFFFFF"/>
        <w:spacing w:after="72" w:line="240" w:lineRule="auto"/>
        <w:contextualSpacing/>
        <w:jc w:val="both"/>
        <w:rPr>
          <w:rFonts w:ascii="Verdana" w:hAnsi="Verdana"/>
          <w:strike/>
          <w:sz w:val="21"/>
          <w:szCs w:val="21"/>
        </w:rPr>
      </w:pPr>
      <w:r w:rsidRPr="00A2177C">
        <w:rPr>
          <w:rFonts w:ascii="Verdana" w:hAnsi="Verdana"/>
          <w:sz w:val="21"/>
          <w:szCs w:val="21"/>
        </w:rPr>
        <w:t>RPCT ha convocato un apposito gruppo di lavoro per declinare le conseguenze operative di queste novità normative sulle attività quotidian</w:t>
      </w:r>
      <w:r w:rsidR="0098696B" w:rsidRPr="00A2177C">
        <w:rPr>
          <w:rFonts w:ascii="Verdana" w:hAnsi="Verdana"/>
          <w:sz w:val="21"/>
          <w:szCs w:val="21"/>
        </w:rPr>
        <w:t>e</w:t>
      </w:r>
      <w:r w:rsidRPr="00A2177C">
        <w:rPr>
          <w:rFonts w:ascii="Verdana" w:hAnsi="Verdana"/>
          <w:sz w:val="21"/>
          <w:szCs w:val="21"/>
        </w:rPr>
        <w:t xml:space="preserve"> di approvvigionamento</w:t>
      </w:r>
      <w:r w:rsidR="00252A67" w:rsidRPr="00A2177C">
        <w:rPr>
          <w:rFonts w:ascii="Verdana" w:hAnsi="Verdana"/>
          <w:sz w:val="21"/>
          <w:szCs w:val="21"/>
        </w:rPr>
        <w:t xml:space="preserve"> e individuare misure specifiche di verifica/controllo che potrebbero essere applicate su un campione rappresentativo di affidamenti sulla base delle check-list proposte da ANAC per le tipologie di affidamento diretto</w:t>
      </w:r>
      <w:r w:rsidR="00A2126E" w:rsidRPr="00A2177C">
        <w:rPr>
          <w:rFonts w:ascii="Verdana" w:hAnsi="Verdana"/>
          <w:sz w:val="21"/>
          <w:szCs w:val="21"/>
        </w:rPr>
        <w:t>, allo scopo di consentire una verifica pratica, veloce e accurata della completezza e adeguatezza degli atti rispetto a elementi principali/critici della procedura</w:t>
      </w:r>
      <w:r w:rsidRPr="00A2177C">
        <w:rPr>
          <w:rFonts w:ascii="Verdana" w:hAnsi="Verdana"/>
          <w:sz w:val="21"/>
          <w:szCs w:val="21"/>
        </w:rPr>
        <w:t>.</w:t>
      </w:r>
      <w:r w:rsidR="00B864B4" w:rsidRPr="00A2177C">
        <w:rPr>
          <w:rFonts w:ascii="Verdana" w:hAnsi="Verdana"/>
          <w:sz w:val="21"/>
          <w:szCs w:val="21"/>
        </w:rPr>
        <w:t xml:space="preserve"> </w:t>
      </w:r>
    </w:p>
    <w:p w14:paraId="670CCE7E" w14:textId="2A9EED7B" w:rsidR="009B4F98" w:rsidRDefault="00DE493F">
      <w:pPr>
        <w:shd w:val="clear" w:color="auto" w:fill="FFFFFF"/>
        <w:spacing w:after="72" w:line="240" w:lineRule="auto"/>
        <w:contextualSpacing/>
        <w:jc w:val="both"/>
        <w:rPr>
          <w:rFonts w:ascii="Verdana" w:hAnsi="Verdana"/>
          <w:sz w:val="21"/>
          <w:szCs w:val="21"/>
        </w:rPr>
      </w:pPr>
      <w:r w:rsidRPr="009E3B0D">
        <w:rPr>
          <w:rFonts w:ascii="Verdana" w:hAnsi="Verdana"/>
          <w:sz w:val="21"/>
          <w:szCs w:val="21"/>
        </w:rPr>
        <w:t>Nel 2025 è stato realizzato un primo step di verifica sugli acquisti e sulla corrispondenza dei CIG con le fatture pagate</w:t>
      </w:r>
      <w:r w:rsidR="006F6711">
        <w:rPr>
          <w:rFonts w:ascii="Verdana" w:hAnsi="Verdana"/>
          <w:sz w:val="21"/>
          <w:szCs w:val="21"/>
        </w:rPr>
        <w:t xml:space="preserve">; </w:t>
      </w:r>
      <w:r w:rsidR="006F6711" w:rsidRPr="006E3157">
        <w:rPr>
          <w:rFonts w:ascii="Verdana" w:hAnsi="Verdana"/>
          <w:sz w:val="21"/>
          <w:szCs w:val="21"/>
        </w:rPr>
        <w:t>nel corso del 2026 si andranno a valutare le eventuali ricadute delle disposizioni introdotte nel capitolo ad hoc del PNA 2025</w:t>
      </w:r>
      <w:r w:rsidR="005022E3" w:rsidRPr="006E3157">
        <w:rPr>
          <w:rFonts w:ascii="Verdana" w:hAnsi="Verdana"/>
          <w:sz w:val="21"/>
          <w:szCs w:val="21"/>
        </w:rPr>
        <w:t>.</w:t>
      </w:r>
    </w:p>
    <w:p w14:paraId="715AA970" w14:textId="77777777" w:rsidR="00AA6C68" w:rsidRDefault="00AA6C68">
      <w:pPr>
        <w:shd w:val="clear" w:color="auto" w:fill="FFFFFF"/>
        <w:spacing w:after="72" w:line="240" w:lineRule="auto"/>
        <w:contextualSpacing/>
        <w:jc w:val="both"/>
        <w:rPr>
          <w:rFonts w:ascii="Verdana" w:hAnsi="Verdana"/>
          <w:sz w:val="21"/>
          <w:szCs w:val="21"/>
        </w:rPr>
      </w:pPr>
    </w:p>
    <w:p w14:paraId="3E231C95" w14:textId="77777777" w:rsidR="00DC28D5" w:rsidRDefault="00DC28D5" w:rsidP="00AA6C68">
      <w:pPr>
        <w:pStyle w:val="Titolo2"/>
        <w:spacing w:after="72"/>
        <w:rPr>
          <w:rFonts w:cs="Times New Roman"/>
          <w:lang w:eastAsia="it-IT"/>
        </w:rPr>
      </w:pPr>
      <w:bookmarkStart w:id="27" w:name="_Toc225863545"/>
      <w:r w:rsidRPr="00E3025A">
        <w:rPr>
          <w:rFonts w:cs="Times New Roman"/>
          <w:lang w:val="it-IT" w:eastAsia="it-IT"/>
        </w:rPr>
        <w:t>I.5</w:t>
      </w:r>
      <w:r w:rsidRPr="00E3025A">
        <w:rPr>
          <w:rFonts w:cs="Times New Roman"/>
          <w:lang w:eastAsia="it-IT"/>
        </w:rPr>
        <w:t xml:space="preserve"> ROTAZIONE</w:t>
      </w:r>
      <w:bookmarkEnd w:id="27"/>
    </w:p>
    <w:p w14:paraId="640C535F" w14:textId="77777777" w:rsidR="00DC28D5" w:rsidRPr="00E3025A" w:rsidRDefault="00DC28D5">
      <w:p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Negli ultimi anni è stato di fatto necessario attuare la misura della rotazione del personale nell'area del comparto sanitario in conseguenza dell'elevato indice di turn-over e per la sostituzione di personale con funzioni apicali che ha cessato il rapporto di lavoro</w:t>
      </w:r>
      <w:r w:rsidR="00E3025A">
        <w:rPr>
          <w:rFonts w:ascii="Verdana" w:hAnsi="Verdana"/>
          <w:sz w:val="21"/>
          <w:szCs w:val="21"/>
          <w:lang w:eastAsia="it-IT"/>
        </w:rPr>
        <w:t>,</w:t>
      </w:r>
      <w:r w:rsidR="00E57BB3" w:rsidRPr="00E3025A">
        <w:rPr>
          <w:rFonts w:ascii="Verdana" w:hAnsi="Verdana"/>
          <w:sz w:val="21"/>
          <w:szCs w:val="21"/>
          <w:lang w:eastAsia="it-IT"/>
        </w:rPr>
        <w:t xml:space="preserve"> </w:t>
      </w:r>
      <w:r w:rsidRPr="00E3025A">
        <w:rPr>
          <w:rFonts w:ascii="Verdana" w:hAnsi="Verdana"/>
          <w:sz w:val="21"/>
          <w:szCs w:val="21"/>
          <w:lang w:eastAsia="it-IT"/>
        </w:rPr>
        <w:t xml:space="preserve">nonché per le nuove nomine all'interno degli organismi i cui mandati erano giunti a scadenza. </w:t>
      </w:r>
    </w:p>
    <w:p w14:paraId="47E75C25" w14:textId="77777777" w:rsidR="00DC28D5" w:rsidRPr="00E3025A" w:rsidRDefault="00DC28D5">
      <w:pPr>
        <w:shd w:val="clear" w:color="auto" w:fill="FFFFFF"/>
        <w:spacing w:after="30" w:line="240" w:lineRule="auto"/>
        <w:contextualSpacing/>
        <w:jc w:val="both"/>
        <w:rPr>
          <w:rFonts w:ascii="Verdana" w:hAnsi="Verdana"/>
          <w:sz w:val="12"/>
          <w:szCs w:val="21"/>
          <w:lang w:eastAsia="it-IT"/>
        </w:rPr>
      </w:pPr>
    </w:p>
    <w:p w14:paraId="11C6E238" w14:textId="77777777" w:rsidR="00E25222" w:rsidRPr="00E3025A" w:rsidRDefault="00E25222">
      <w:pPr>
        <w:shd w:val="clear" w:color="auto" w:fill="FFFFFF"/>
        <w:spacing w:after="30" w:line="240" w:lineRule="auto"/>
        <w:contextualSpacing/>
        <w:jc w:val="both"/>
        <w:rPr>
          <w:rFonts w:ascii="Verdana" w:hAnsi="Verdana"/>
          <w:sz w:val="12"/>
          <w:szCs w:val="21"/>
        </w:rPr>
      </w:pPr>
    </w:p>
    <w:p w14:paraId="15E12B9A" w14:textId="77777777" w:rsidR="00DC28D5" w:rsidRPr="00E3025A" w:rsidRDefault="00DC28D5">
      <w:p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Per quanto attiene alla rotazione ordinaria, come accennato in precedenza, si segnala che essa risulta di difficile programmazione per i seguenti motivi:</w:t>
      </w:r>
    </w:p>
    <w:p w14:paraId="7A5281B1" w14:textId="77777777" w:rsidR="00DC28D5" w:rsidRPr="00E3025A" w:rsidRDefault="00DC28D5" w:rsidP="001B4ADF">
      <w:pPr>
        <w:numPr>
          <w:ilvl w:val="0"/>
          <w:numId w:val="2"/>
        </w:num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ridotte dimensioni della Società</w:t>
      </w:r>
    </w:p>
    <w:p w14:paraId="4A465FD5" w14:textId="77777777" w:rsidR="00DC28D5" w:rsidRPr="00E3025A" w:rsidRDefault="00DC28D5" w:rsidP="001B4ADF">
      <w:pPr>
        <w:numPr>
          <w:ilvl w:val="0"/>
          <w:numId w:val="2"/>
        </w:num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esiguità del</w:t>
      </w:r>
      <w:r w:rsidR="00B86271">
        <w:rPr>
          <w:rFonts w:ascii="Verdana" w:hAnsi="Verdana"/>
          <w:sz w:val="21"/>
          <w:szCs w:val="21"/>
          <w:lang w:eastAsia="it-IT"/>
        </w:rPr>
        <w:t xml:space="preserve"> numero di unità di personale</w:t>
      </w:r>
      <w:r w:rsidRPr="00E3025A">
        <w:rPr>
          <w:rFonts w:ascii="Verdana" w:hAnsi="Verdana"/>
          <w:sz w:val="21"/>
          <w:szCs w:val="21"/>
          <w:lang w:eastAsia="it-IT"/>
        </w:rPr>
        <w:t xml:space="preserve"> amministrativ</w:t>
      </w:r>
      <w:r w:rsidR="00B86271">
        <w:rPr>
          <w:rFonts w:ascii="Verdana" w:hAnsi="Verdana"/>
          <w:sz w:val="21"/>
          <w:szCs w:val="21"/>
          <w:lang w:eastAsia="it-IT"/>
        </w:rPr>
        <w:t>o</w:t>
      </w:r>
      <w:r w:rsidRPr="00E3025A">
        <w:rPr>
          <w:rFonts w:ascii="Verdana" w:hAnsi="Verdana"/>
          <w:sz w:val="21"/>
          <w:szCs w:val="21"/>
          <w:lang w:eastAsia="it-IT"/>
        </w:rPr>
        <w:t xml:space="preserve"> e di supporto</w:t>
      </w:r>
    </w:p>
    <w:p w14:paraId="08D74407" w14:textId="77777777" w:rsidR="00DC28D5" w:rsidRPr="00E3025A" w:rsidRDefault="00DC28D5" w:rsidP="001B4ADF">
      <w:pPr>
        <w:numPr>
          <w:ilvl w:val="0"/>
          <w:numId w:val="2"/>
        </w:num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infungibilità del personale sanitario</w:t>
      </w:r>
    </w:p>
    <w:p w14:paraId="45596542" w14:textId="77777777" w:rsidR="00DC28D5" w:rsidRPr="00E3025A" w:rsidRDefault="00DC28D5">
      <w:pPr>
        <w:shd w:val="clear" w:color="auto" w:fill="FFFFFF"/>
        <w:spacing w:after="30" w:line="240" w:lineRule="auto"/>
        <w:contextualSpacing/>
        <w:jc w:val="both"/>
        <w:rPr>
          <w:rFonts w:ascii="Verdana" w:hAnsi="Verdana"/>
          <w:sz w:val="12"/>
          <w:szCs w:val="21"/>
          <w:lang w:eastAsia="it-IT"/>
        </w:rPr>
      </w:pPr>
    </w:p>
    <w:p w14:paraId="118E6EF8" w14:textId="77777777" w:rsidR="00DC28D5" w:rsidRDefault="00DC28D5" w:rsidP="00B54446">
      <w:pPr>
        <w:spacing w:after="30" w:line="240" w:lineRule="auto"/>
        <w:jc w:val="both"/>
        <w:rPr>
          <w:rFonts w:ascii="Verdana" w:hAnsi="Verdana"/>
          <w:sz w:val="21"/>
          <w:szCs w:val="21"/>
        </w:rPr>
      </w:pPr>
      <w:r w:rsidRPr="00E3025A">
        <w:rPr>
          <w:rFonts w:ascii="Verdana" w:hAnsi="Verdana"/>
          <w:sz w:val="21"/>
          <w:szCs w:val="21"/>
        </w:rPr>
        <w:t>In merito all’istituto della rotazione cosiddetta straordinaria prevista dal legislatore che impone la rotazione “</w:t>
      </w:r>
      <w:r w:rsidRPr="00E3025A">
        <w:rPr>
          <w:rFonts w:ascii="Verdana" w:hAnsi="Verdana"/>
          <w:i/>
          <w:iCs/>
          <w:sz w:val="21"/>
          <w:szCs w:val="21"/>
        </w:rPr>
        <w:t>del personale nei casi di avvio di procedimenti penali o disciplinari per condotte di natura corruttiva</w:t>
      </w:r>
      <w:r w:rsidRPr="00E3025A">
        <w:rPr>
          <w:rFonts w:ascii="Verdana" w:hAnsi="Verdana"/>
          <w:sz w:val="21"/>
          <w:szCs w:val="21"/>
        </w:rPr>
        <w:t>” che creano un danno all’immagine di imparzialità dell’amministrazione</w:t>
      </w:r>
      <w:r w:rsidR="00F52344" w:rsidRPr="00E3025A">
        <w:rPr>
          <w:rFonts w:ascii="Verdana" w:hAnsi="Verdana"/>
          <w:sz w:val="21"/>
          <w:szCs w:val="21"/>
        </w:rPr>
        <w:t>,</w:t>
      </w:r>
      <w:r w:rsidRPr="00E3025A">
        <w:rPr>
          <w:rFonts w:ascii="Verdana" w:hAnsi="Verdana"/>
          <w:sz w:val="21"/>
          <w:szCs w:val="21"/>
        </w:rPr>
        <w:t xml:space="preserve"> </w:t>
      </w:r>
      <w:r w:rsidR="00B54446" w:rsidRPr="00E3025A">
        <w:rPr>
          <w:rFonts w:ascii="Verdana" w:hAnsi="Verdana"/>
          <w:sz w:val="21"/>
          <w:szCs w:val="21"/>
        </w:rPr>
        <w:t>nel 202</w:t>
      </w:r>
      <w:r w:rsidR="00DE493F">
        <w:rPr>
          <w:rFonts w:ascii="Verdana" w:hAnsi="Verdana"/>
          <w:sz w:val="21"/>
          <w:szCs w:val="21"/>
        </w:rPr>
        <w:t>5</w:t>
      </w:r>
      <w:r w:rsidR="00B54446" w:rsidRPr="00E3025A">
        <w:rPr>
          <w:rFonts w:ascii="Verdana" w:hAnsi="Verdana"/>
          <w:sz w:val="21"/>
          <w:szCs w:val="21"/>
        </w:rPr>
        <w:t xml:space="preserve"> non si sono registrat</w:t>
      </w:r>
      <w:r w:rsidR="00034F08" w:rsidRPr="00E3025A">
        <w:rPr>
          <w:rFonts w:ascii="Verdana" w:hAnsi="Verdana"/>
          <w:sz w:val="21"/>
          <w:szCs w:val="21"/>
        </w:rPr>
        <w:t>e tali fattispecie</w:t>
      </w:r>
      <w:r w:rsidRPr="00E3025A">
        <w:rPr>
          <w:rFonts w:ascii="Verdana" w:hAnsi="Verdana"/>
          <w:sz w:val="21"/>
          <w:szCs w:val="21"/>
        </w:rPr>
        <w:t>.</w:t>
      </w:r>
      <w:r w:rsidRPr="003D24D4">
        <w:rPr>
          <w:rFonts w:ascii="Verdana" w:hAnsi="Verdana"/>
          <w:sz w:val="21"/>
          <w:szCs w:val="21"/>
        </w:rPr>
        <w:t xml:space="preserve"> </w:t>
      </w:r>
    </w:p>
    <w:p w14:paraId="2043D957" w14:textId="77777777" w:rsidR="0090709B" w:rsidRDefault="0090709B" w:rsidP="00B54446">
      <w:pPr>
        <w:spacing w:after="30" w:line="240" w:lineRule="auto"/>
        <w:jc w:val="both"/>
        <w:rPr>
          <w:rFonts w:ascii="Verdana" w:hAnsi="Verdana"/>
          <w:sz w:val="21"/>
          <w:szCs w:val="21"/>
        </w:rPr>
      </w:pPr>
    </w:p>
    <w:p w14:paraId="65F5AFC0" w14:textId="3AF832D2" w:rsidR="0090709B" w:rsidRPr="00253914" w:rsidRDefault="0090709B" w:rsidP="00B54446">
      <w:pPr>
        <w:spacing w:after="30" w:line="240" w:lineRule="auto"/>
        <w:jc w:val="both"/>
        <w:rPr>
          <w:rFonts w:ascii="Verdana" w:hAnsi="Verdana"/>
          <w:color w:val="EE0000"/>
          <w:sz w:val="21"/>
          <w:szCs w:val="21"/>
        </w:rPr>
      </w:pPr>
      <w:r w:rsidRPr="00253914">
        <w:rPr>
          <w:rFonts w:ascii="Verdana" w:hAnsi="Verdana"/>
          <w:sz w:val="21"/>
          <w:szCs w:val="21"/>
        </w:rPr>
        <w:t xml:space="preserve">Si riporta con nota in calce </w:t>
      </w:r>
      <w:r w:rsidR="006445C1" w:rsidRPr="00253914">
        <w:rPr>
          <w:rFonts w:ascii="Verdana" w:hAnsi="Verdana"/>
          <w:sz w:val="21"/>
          <w:szCs w:val="21"/>
        </w:rPr>
        <w:t xml:space="preserve">link a </w:t>
      </w:r>
      <w:r w:rsidRPr="00253914">
        <w:rPr>
          <w:rFonts w:ascii="Verdana" w:hAnsi="Verdana"/>
          <w:sz w:val="21"/>
          <w:szCs w:val="21"/>
        </w:rPr>
        <w:t>un interessante atto ANAC del 3 luglio 2024 in merito alle peculiari criticità che presenta la rotazione in ambito sanitario in ragione della mission affidata agli enti del Servizio Sanitario</w:t>
      </w:r>
      <w:r w:rsidR="006445C1" w:rsidRPr="00253914">
        <w:rPr>
          <w:rFonts w:ascii="Verdana" w:hAnsi="Verdana"/>
          <w:sz w:val="21"/>
          <w:szCs w:val="21"/>
        </w:rPr>
        <w:t xml:space="preserve"> </w:t>
      </w:r>
      <w:r w:rsidR="006445C1" w:rsidRPr="00253914">
        <w:rPr>
          <w:rStyle w:val="Caratterinotaapidipagina"/>
          <w:rFonts w:ascii="Verdana" w:hAnsi="Verdana"/>
          <w:sz w:val="21"/>
          <w:szCs w:val="21"/>
          <w:lang w:eastAsia="it-IT"/>
        </w:rPr>
        <w:footnoteReference w:id="6"/>
      </w:r>
      <w:r w:rsidRPr="00253914">
        <w:rPr>
          <w:rFonts w:ascii="Verdana" w:hAnsi="Verdana"/>
          <w:sz w:val="21"/>
          <w:szCs w:val="21"/>
        </w:rPr>
        <w:t>.</w:t>
      </w:r>
    </w:p>
    <w:p w14:paraId="2C148D11" w14:textId="3C4D7182" w:rsidR="00DC28D5" w:rsidRPr="00C51D25" w:rsidRDefault="00DC28D5" w:rsidP="00AA6C68">
      <w:pPr>
        <w:pStyle w:val="Titolo2"/>
        <w:spacing w:afterLines="72" w:after="172"/>
        <w:rPr>
          <w:rFonts w:cs="Times New Roman"/>
          <w:color w:val="FF0000"/>
          <w:szCs w:val="24"/>
        </w:rPr>
      </w:pPr>
      <w:bookmarkStart w:id="28" w:name="_Toc225863546"/>
      <w:r w:rsidRPr="0009315F">
        <w:rPr>
          <w:rFonts w:cs="Times New Roman"/>
          <w:szCs w:val="24"/>
        </w:rPr>
        <w:t>I.6 FORMAZIONE</w:t>
      </w:r>
      <w:bookmarkEnd w:id="28"/>
      <w:r w:rsidR="00C51D25">
        <w:rPr>
          <w:rFonts w:cs="Times New Roman"/>
          <w:szCs w:val="24"/>
        </w:rPr>
        <w:t xml:space="preserve"> </w:t>
      </w:r>
    </w:p>
    <w:p w14:paraId="2B748E4F" w14:textId="77777777" w:rsidR="00920308" w:rsidRPr="00920308" w:rsidRDefault="00920308" w:rsidP="00920308">
      <w:pPr>
        <w:spacing w:afterLines="72" w:after="172" w:line="240" w:lineRule="auto"/>
        <w:jc w:val="both"/>
        <w:rPr>
          <w:rFonts w:ascii="Verdana" w:hAnsi="Verdana"/>
          <w:sz w:val="21"/>
          <w:szCs w:val="21"/>
        </w:rPr>
      </w:pPr>
      <w:r w:rsidRPr="00920308">
        <w:rPr>
          <w:rFonts w:ascii="Verdana" w:hAnsi="Verdana"/>
          <w:sz w:val="21"/>
          <w:szCs w:val="21"/>
        </w:rPr>
        <w:t>I fabbisogni formativi sono individuati dal Responsabile della Prevenzione della Corruzione e Trasparenza</w:t>
      </w:r>
      <w:r w:rsidR="000D3DFA">
        <w:rPr>
          <w:rFonts w:ascii="Verdana" w:hAnsi="Verdana"/>
          <w:sz w:val="21"/>
          <w:szCs w:val="21"/>
        </w:rPr>
        <w:t>,</w:t>
      </w:r>
      <w:r w:rsidRPr="00920308">
        <w:rPr>
          <w:rFonts w:ascii="Verdana" w:hAnsi="Verdana"/>
          <w:sz w:val="21"/>
          <w:szCs w:val="21"/>
        </w:rPr>
        <w:t xml:space="preserve"> in accordo con i Responsabili delle figure professionali; le iniziative formative vengono inserite anche nel Programma delle Attività Formative aziendale (PAF).</w:t>
      </w:r>
    </w:p>
    <w:p w14:paraId="31842AF7" w14:textId="77777777" w:rsidR="00CA3680" w:rsidRPr="00690652" w:rsidRDefault="00DC28D5" w:rsidP="00AA6C68">
      <w:pPr>
        <w:spacing w:afterLines="72" w:after="172" w:line="240" w:lineRule="auto"/>
        <w:jc w:val="both"/>
        <w:rPr>
          <w:rFonts w:ascii="Verdana" w:hAnsi="Verdana"/>
          <w:b/>
          <w:bCs/>
          <w:sz w:val="21"/>
          <w:szCs w:val="21"/>
        </w:rPr>
      </w:pPr>
      <w:r w:rsidRPr="00690652">
        <w:rPr>
          <w:rFonts w:ascii="Verdana" w:hAnsi="Verdana"/>
          <w:sz w:val="21"/>
          <w:szCs w:val="21"/>
        </w:rPr>
        <w:t>Nel corso del 202</w:t>
      </w:r>
      <w:r w:rsidR="00DE493F" w:rsidRPr="00690652">
        <w:rPr>
          <w:rFonts w:ascii="Verdana" w:hAnsi="Verdana"/>
          <w:sz w:val="21"/>
          <w:szCs w:val="21"/>
        </w:rPr>
        <w:t>5</w:t>
      </w:r>
      <w:r w:rsidR="003B34AB" w:rsidRPr="00690652">
        <w:rPr>
          <w:rFonts w:ascii="Verdana" w:hAnsi="Verdana"/>
          <w:sz w:val="21"/>
          <w:szCs w:val="21"/>
        </w:rPr>
        <w:t xml:space="preserve"> s</w:t>
      </w:r>
      <w:r w:rsidRPr="00690652">
        <w:rPr>
          <w:rFonts w:ascii="Verdana" w:hAnsi="Verdana"/>
          <w:sz w:val="21"/>
          <w:szCs w:val="21"/>
        </w:rPr>
        <w:t>i sono svolte le seguenti iniziative di formazione</w:t>
      </w:r>
      <w:r w:rsidR="00D01744" w:rsidRPr="00690652">
        <w:rPr>
          <w:rFonts w:ascii="Verdana" w:hAnsi="Verdana"/>
          <w:sz w:val="21"/>
          <w:szCs w:val="21"/>
        </w:rPr>
        <w:t xml:space="preserve"> di rilievo per l’anticorruzione e la trasparenza</w:t>
      </w:r>
      <w:r w:rsidRPr="00690652">
        <w:rPr>
          <w:rFonts w:ascii="Verdana" w:hAnsi="Verdana"/>
          <w:b/>
          <w:bCs/>
          <w:sz w:val="21"/>
          <w:szCs w:val="21"/>
        </w:rPr>
        <w:t>:</w:t>
      </w:r>
    </w:p>
    <w:p w14:paraId="36711D66" w14:textId="6040E28C" w:rsidR="00BD207C" w:rsidRPr="009E3B0D" w:rsidRDefault="00BD207C" w:rsidP="00327D29">
      <w:pPr>
        <w:numPr>
          <w:ilvl w:val="0"/>
          <w:numId w:val="19"/>
        </w:numPr>
        <w:spacing w:afterLines="30" w:after="72" w:line="240" w:lineRule="auto"/>
        <w:ind w:left="426"/>
        <w:jc w:val="both"/>
        <w:rPr>
          <w:rFonts w:ascii="Verdana" w:hAnsi="Verdana"/>
          <w:sz w:val="21"/>
          <w:szCs w:val="21"/>
        </w:rPr>
      </w:pPr>
      <w:bookmarkStart w:id="29" w:name="_Hlk31219345"/>
      <w:r w:rsidRPr="00690652">
        <w:rPr>
          <w:rFonts w:ascii="Verdana" w:hAnsi="Verdana"/>
          <w:i/>
          <w:sz w:val="21"/>
          <w:szCs w:val="21"/>
        </w:rPr>
        <w:t>“Corso base sul sistema di prevenzione della corruzione nella Pubblica Amministrazione</w:t>
      </w:r>
      <w:r w:rsidRPr="00C51D25">
        <w:rPr>
          <w:rFonts w:ascii="Verdana" w:hAnsi="Verdana"/>
          <w:i/>
          <w:sz w:val="21"/>
          <w:szCs w:val="21"/>
        </w:rPr>
        <w:t>”</w:t>
      </w:r>
      <w:r w:rsidRPr="00C51D25">
        <w:rPr>
          <w:rFonts w:ascii="Verdana" w:hAnsi="Verdana"/>
          <w:sz w:val="21"/>
          <w:szCs w:val="21"/>
        </w:rPr>
        <w:t>: il</w:t>
      </w:r>
      <w:r w:rsidRPr="009613C6">
        <w:rPr>
          <w:rFonts w:ascii="Verdana" w:hAnsi="Verdana"/>
          <w:sz w:val="21"/>
          <w:szCs w:val="21"/>
        </w:rPr>
        <w:t xml:space="preserve"> corso, già progettato a livello regionale attraverso la piattaforma di e-learning SELF, a disposizione degli enti aderenti alla Rete per l’Integrità e la Trasparenza di cui MRI fa parte, è stato accreditato come formazione a distanza (FAD) direttamente dalla </w:t>
      </w:r>
      <w:r w:rsidRPr="00A2177C">
        <w:rPr>
          <w:rFonts w:ascii="Verdana" w:hAnsi="Verdana"/>
          <w:sz w:val="21"/>
          <w:szCs w:val="21"/>
        </w:rPr>
        <w:t>Società</w:t>
      </w:r>
      <w:r w:rsidR="00F44AF8">
        <w:rPr>
          <w:rFonts w:ascii="Verdana" w:hAnsi="Verdana"/>
          <w:sz w:val="21"/>
          <w:szCs w:val="21"/>
        </w:rPr>
        <w:t>.</w:t>
      </w:r>
      <w:r w:rsidRPr="00A2177C">
        <w:rPr>
          <w:rFonts w:ascii="Verdana" w:hAnsi="Verdana"/>
          <w:sz w:val="21"/>
          <w:szCs w:val="21"/>
        </w:rPr>
        <w:t xml:space="preserve"> </w:t>
      </w:r>
      <w:r w:rsidR="002C540B" w:rsidRPr="009E3B0D">
        <w:rPr>
          <w:rFonts w:ascii="Verdana" w:hAnsi="Verdana"/>
          <w:sz w:val="21"/>
          <w:szCs w:val="21"/>
        </w:rPr>
        <w:t xml:space="preserve">Il corso è stato rivolto a n. </w:t>
      </w:r>
      <w:r w:rsidR="00690652" w:rsidRPr="009E3B0D">
        <w:rPr>
          <w:rFonts w:ascii="Verdana" w:hAnsi="Verdana"/>
          <w:sz w:val="21"/>
          <w:szCs w:val="21"/>
        </w:rPr>
        <w:t>28</w:t>
      </w:r>
      <w:r w:rsidR="002C540B" w:rsidRPr="009E3B0D">
        <w:rPr>
          <w:rFonts w:ascii="Verdana" w:hAnsi="Verdana"/>
          <w:sz w:val="21"/>
          <w:szCs w:val="21"/>
        </w:rPr>
        <w:t xml:space="preserve"> operatori neoassunti di cui n. </w:t>
      </w:r>
      <w:r w:rsidR="00690652" w:rsidRPr="009E3B0D">
        <w:rPr>
          <w:rFonts w:ascii="Verdana" w:hAnsi="Verdana"/>
          <w:sz w:val="21"/>
          <w:szCs w:val="21"/>
        </w:rPr>
        <w:t>26</w:t>
      </w:r>
      <w:r w:rsidR="002C540B" w:rsidRPr="009E3B0D">
        <w:rPr>
          <w:rFonts w:ascii="Verdana" w:hAnsi="Verdana"/>
          <w:sz w:val="21"/>
          <w:szCs w:val="21"/>
        </w:rPr>
        <w:t xml:space="preserve"> hanno terminato il percorso e il 7</w:t>
      </w:r>
      <w:r w:rsidR="00690652" w:rsidRPr="009E3B0D">
        <w:rPr>
          <w:rFonts w:ascii="Verdana" w:hAnsi="Verdana"/>
          <w:sz w:val="21"/>
          <w:szCs w:val="21"/>
        </w:rPr>
        <w:t>4</w:t>
      </w:r>
      <w:r w:rsidR="002C540B" w:rsidRPr="009E3B0D">
        <w:rPr>
          <w:rFonts w:ascii="Verdana" w:hAnsi="Verdana"/>
          <w:sz w:val="21"/>
          <w:szCs w:val="21"/>
        </w:rPr>
        <w:t>% dei dipendenti in forza alla data del 31/12/202</w:t>
      </w:r>
      <w:r w:rsidR="00690652" w:rsidRPr="009E3B0D">
        <w:rPr>
          <w:rFonts w:ascii="Verdana" w:hAnsi="Verdana"/>
          <w:sz w:val="21"/>
          <w:szCs w:val="21"/>
        </w:rPr>
        <w:t>5</w:t>
      </w:r>
      <w:r w:rsidR="002C540B" w:rsidRPr="009E3B0D">
        <w:rPr>
          <w:rFonts w:ascii="Verdana" w:hAnsi="Verdana"/>
          <w:sz w:val="21"/>
          <w:szCs w:val="21"/>
        </w:rPr>
        <w:t xml:space="preserve"> risulta aver completato la formazione di base. </w:t>
      </w:r>
    </w:p>
    <w:bookmarkEnd w:id="29"/>
    <w:p w14:paraId="2C819976" w14:textId="77777777" w:rsidR="009F376B" w:rsidRDefault="009F376B" w:rsidP="00327D29">
      <w:pPr>
        <w:numPr>
          <w:ilvl w:val="0"/>
          <w:numId w:val="19"/>
        </w:numPr>
        <w:spacing w:afterLines="30" w:after="72" w:line="240" w:lineRule="auto"/>
        <w:ind w:left="426"/>
        <w:jc w:val="both"/>
        <w:rPr>
          <w:rFonts w:ascii="Verdana" w:hAnsi="Verdana"/>
          <w:sz w:val="21"/>
          <w:szCs w:val="21"/>
        </w:rPr>
      </w:pPr>
      <w:r w:rsidRPr="00C51D25">
        <w:rPr>
          <w:rFonts w:ascii="Verdana" w:hAnsi="Verdana"/>
          <w:i/>
          <w:iCs/>
          <w:sz w:val="21"/>
          <w:szCs w:val="21"/>
        </w:rPr>
        <w:t xml:space="preserve">“Giornata della Trasparenza -La trasparenza e il diritto di accesso: documentale, civico semplice e generalizzato” - </w:t>
      </w:r>
      <w:r w:rsidRPr="00C51D25">
        <w:rPr>
          <w:rFonts w:ascii="Verdana" w:hAnsi="Verdana"/>
          <w:sz w:val="21"/>
          <w:szCs w:val="21"/>
        </w:rPr>
        <w:t>seminario promosso dalle Aziende Sanitarie AVEC e Ausl Romagna il 23 gennaio</w:t>
      </w:r>
      <w:r w:rsidRPr="009613C6">
        <w:rPr>
          <w:rFonts w:ascii="Verdana" w:hAnsi="Verdana"/>
          <w:sz w:val="21"/>
          <w:szCs w:val="21"/>
        </w:rPr>
        <w:t xml:space="preserve"> 202</w:t>
      </w:r>
      <w:r>
        <w:rPr>
          <w:rFonts w:ascii="Verdana" w:hAnsi="Verdana"/>
          <w:sz w:val="21"/>
          <w:szCs w:val="21"/>
        </w:rPr>
        <w:t>5</w:t>
      </w:r>
      <w:r w:rsidRPr="009613C6">
        <w:rPr>
          <w:rFonts w:ascii="Verdana" w:hAnsi="Verdana"/>
          <w:sz w:val="21"/>
          <w:szCs w:val="21"/>
        </w:rPr>
        <w:t xml:space="preserve"> seguito</w:t>
      </w:r>
      <w:r>
        <w:rPr>
          <w:rFonts w:ascii="Verdana" w:hAnsi="Verdana"/>
          <w:sz w:val="21"/>
          <w:szCs w:val="21"/>
        </w:rPr>
        <w:t xml:space="preserve"> in remoto</w:t>
      </w:r>
      <w:r w:rsidRPr="009613C6">
        <w:rPr>
          <w:rFonts w:ascii="Verdana" w:hAnsi="Verdana"/>
          <w:sz w:val="21"/>
          <w:szCs w:val="21"/>
        </w:rPr>
        <w:t xml:space="preserve"> dall’RPCT e da</w:t>
      </w:r>
      <w:r>
        <w:rPr>
          <w:rFonts w:ascii="Verdana" w:hAnsi="Verdana"/>
          <w:sz w:val="21"/>
          <w:szCs w:val="21"/>
        </w:rPr>
        <w:t>lle</w:t>
      </w:r>
      <w:r w:rsidRPr="009613C6">
        <w:rPr>
          <w:rFonts w:ascii="Verdana" w:hAnsi="Verdana"/>
          <w:sz w:val="21"/>
          <w:szCs w:val="21"/>
        </w:rPr>
        <w:t xml:space="preserve"> component</w:t>
      </w:r>
      <w:r>
        <w:rPr>
          <w:rFonts w:ascii="Verdana" w:hAnsi="Verdana"/>
          <w:sz w:val="21"/>
          <w:szCs w:val="21"/>
        </w:rPr>
        <w:t>i</w:t>
      </w:r>
      <w:r w:rsidRPr="009613C6">
        <w:rPr>
          <w:rFonts w:ascii="Verdana" w:hAnsi="Verdana"/>
          <w:sz w:val="21"/>
          <w:szCs w:val="21"/>
        </w:rPr>
        <w:t xml:space="preserve"> dell’Ufficio Prevenzione Corruzione e Trasparenza.</w:t>
      </w:r>
    </w:p>
    <w:p w14:paraId="62B55A9A" w14:textId="77777777" w:rsidR="00350F02" w:rsidRDefault="00350F02" w:rsidP="00130F60">
      <w:pPr>
        <w:spacing w:afterLines="30" w:after="72" w:line="240" w:lineRule="auto"/>
        <w:ind w:left="66"/>
        <w:jc w:val="both"/>
        <w:rPr>
          <w:rFonts w:ascii="Verdana" w:hAnsi="Verdana"/>
          <w:sz w:val="21"/>
          <w:szCs w:val="21"/>
        </w:rPr>
      </w:pPr>
    </w:p>
    <w:p w14:paraId="44BDD392" w14:textId="4988453E" w:rsidR="00B83EE8" w:rsidRPr="009613C6" w:rsidRDefault="00B50BF5" w:rsidP="00B83EE8">
      <w:pPr>
        <w:pStyle w:val="Paragrafoelenco"/>
        <w:spacing w:afterLines="30" w:after="72" w:line="240" w:lineRule="auto"/>
        <w:ind w:left="0"/>
        <w:jc w:val="both"/>
        <w:rPr>
          <w:rFonts w:ascii="Verdana" w:hAnsi="Verdana"/>
          <w:sz w:val="21"/>
          <w:szCs w:val="21"/>
        </w:rPr>
      </w:pPr>
      <w:r w:rsidRPr="009613C6">
        <w:rPr>
          <w:rFonts w:ascii="Verdana" w:hAnsi="Verdana"/>
          <w:sz w:val="21"/>
          <w:szCs w:val="21"/>
        </w:rPr>
        <w:t>La formazione programmata</w:t>
      </w:r>
      <w:r w:rsidR="003B34AB" w:rsidRPr="009613C6">
        <w:rPr>
          <w:rFonts w:ascii="Verdana" w:hAnsi="Verdana"/>
          <w:sz w:val="21"/>
          <w:szCs w:val="21"/>
        </w:rPr>
        <w:t xml:space="preserve"> internamente</w:t>
      </w:r>
      <w:r w:rsidRPr="009613C6">
        <w:rPr>
          <w:rFonts w:ascii="Verdana" w:hAnsi="Verdana"/>
          <w:sz w:val="21"/>
          <w:szCs w:val="21"/>
        </w:rPr>
        <w:t xml:space="preserve"> per il </w:t>
      </w:r>
      <w:r w:rsidRPr="00731A95">
        <w:rPr>
          <w:rFonts w:ascii="Verdana" w:hAnsi="Verdana"/>
          <w:sz w:val="21"/>
          <w:szCs w:val="21"/>
        </w:rPr>
        <w:t>202</w:t>
      </w:r>
      <w:r w:rsidR="00DE493F" w:rsidRPr="00731A95">
        <w:rPr>
          <w:rFonts w:ascii="Verdana" w:hAnsi="Verdana"/>
          <w:sz w:val="21"/>
          <w:szCs w:val="21"/>
        </w:rPr>
        <w:t>6</w:t>
      </w:r>
      <w:r w:rsidR="00326560" w:rsidRPr="00731A95">
        <w:rPr>
          <w:rFonts w:ascii="Verdana" w:hAnsi="Verdana"/>
          <w:sz w:val="21"/>
          <w:szCs w:val="21"/>
        </w:rPr>
        <w:t xml:space="preserve"> </w:t>
      </w:r>
      <w:r w:rsidR="00B83EE8" w:rsidRPr="00731A95">
        <w:rPr>
          <w:rFonts w:ascii="Verdana" w:hAnsi="Verdana"/>
          <w:sz w:val="21"/>
          <w:szCs w:val="21"/>
        </w:rPr>
        <w:t xml:space="preserve">conferma </w:t>
      </w:r>
      <w:r w:rsidR="00326560" w:rsidRPr="00731A95">
        <w:rPr>
          <w:rFonts w:ascii="Verdana" w:hAnsi="Verdana"/>
          <w:sz w:val="21"/>
          <w:szCs w:val="21"/>
        </w:rPr>
        <w:t>una</w:t>
      </w:r>
      <w:r w:rsidR="00326560" w:rsidRPr="009613C6">
        <w:rPr>
          <w:rFonts w:ascii="Verdana" w:hAnsi="Verdana"/>
          <w:sz w:val="21"/>
          <w:szCs w:val="21"/>
        </w:rPr>
        <w:t xml:space="preserve"> strutturazione su due livelli</w:t>
      </w:r>
      <w:r w:rsidR="00B83EE8" w:rsidRPr="009613C6">
        <w:rPr>
          <w:rFonts w:ascii="Verdana" w:hAnsi="Verdana"/>
          <w:sz w:val="21"/>
          <w:szCs w:val="21"/>
        </w:rPr>
        <w:t>:</w:t>
      </w:r>
    </w:p>
    <w:p w14:paraId="416A6D32" w14:textId="77777777" w:rsidR="00B83EE8" w:rsidRPr="009613C6" w:rsidRDefault="00B83EE8" w:rsidP="00B83EE8">
      <w:pPr>
        <w:pStyle w:val="Paragrafoelenco"/>
        <w:spacing w:afterLines="30" w:after="72" w:line="240" w:lineRule="auto"/>
        <w:ind w:left="0"/>
        <w:jc w:val="both"/>
        <w:rPr>
          <w:rFonts w:ascii="Verdana" w:hAnsi="Verdana"/>
          <w:sz w:val="21"/>
          <w:szCs w:val="21"/>
        </w:rPr>
      </w:pPr>
    </w:p>
    <w:p w14:paraId="2AEBE9E3" w14:textId="77777777" w:rsidR="00571FD1" w:rsidRPr="009613C6" w:rsidRDefault="00B83EE8" w:rsidP="00327D29">
      <w:pPr>
        <w:pStyle w:val="Paragrafoelenco"/>
        <w:numPr>
          <w:ilvl w:val="0"/>
          <w:numId w:val="21"/>
        </w:numPr>
        <w:spacing w:afterLines="30" w:after="72" w:line="240" w:lineRule="auto"/>
        <w:jc w:val="both"/>
        <w:rPr>
          <w:rFonts w:ascii="Verdana" w:hAnsi="Verdana"/>
          <w:sz w:val="21"/>
          <w:szCs w:val="21"/>
        </w:rPr>
      </w:pPr>
      <w:r w:rsidRPr="009613C6">
        <w:rPr>
          <w:rFonts w:ascii="Verdana" w:hAnsi="Verdana"/>
          <w:sz w:val="21"/>
          <w:szCs w:val="21"/>
        </w:rPr>
        <w:t xml:space="preserve">livello </w:t>
      </w:r>
      <w:r w:rsidR="00326560" w:rsidRPr="009613C6">
        <w:rPr>
          <w:rFonts w:ascii="Verdana" w:hAnsi="Verdana"/>
          <w:sz w:val="21"/>
          <w:szCs w:val="21"/>
        </w:rPr>
        <w:t>generale rivolto a tutti i dipendenti che riguarda le tematiche dell’etica della legalità</w:t>
      </w:r>
      <w:r w:rsidRPr="009613C6">
        <w:rPr>
          <w:rFonts w:ascii="Verdana" w:hAnsi="Verdana"/>
          <w:sz w:val="21"/>
          <w:szCs w:val="21"/>
        </w:rPr>
        <w:t xml:space="preserve"> e che prevede </w:t>
      </w:r>
      <w:r w:rsidR="00087EC4" w:rsidRPr="009613C6">
        <w:rPr>
          <w:rFonts w:ascii="Verdana" w:hAnsi="Verdana"/>
          <w:sz w:val="21"/>
          <w:szCs w:val="21"/>
        </w:rPr>
        <w:t>l’utilizzo del</w:t>
      </w:r>
      <w:r w:rsidR="00680C35" w:rsidRPr="009613C6">
        <w:rPr>
          <w:rFonts w:ascii="Verdana" w:hAnsi="Verdana"/>
          <w:sz w:val="21"/>
          <w:szCs w:val="21"/>
        </w:rPr>
        <w:t>la piattaforma regionale di e-learning SELF</w:t>
      </w:r>
      <w:r w:rsidR="0021754A" w:rsidRPr="009613C6">
        <w:rPr>
          <w:rFonts w:ascii="Verdana" w:hAnsi="Verdana"/>
          <w:sz w:val="21"/>
          <w:szCs w:val="21"/>
        </w:rPr>
        <w:t>,</w:t>
      </w:r>
      <w:r w:rsidR="00087EC4" w:rsidRPr="009613C6">
        <w:rPr>
          <w:rFonts w:ascii="Verdana" w:hAnsi="Verdana"/>
          <w:sz w:val="21"/>
          <w:szCs w:val="21"/>
        </w:rPr>
        <w:t xml:space="preserve"> con riguardo al</w:t>
      </w:r>
      <w:r w:rsidR="0021754A" w:rsidRPr="009613C6">
        <w:rPr>
          <w:rFonts w:ascii="Verdana" w:hAnsi="Verdana"/>
          <w:sz w:val="21"/>
          <w:szCs w:val="21"/>
        </w:rPr>
        <w:t xml:space="preserve"> corso di base sopra citato in tema di prevenzione della </w:t>
      </w:r>
      <w:r w:rsidR="00087EC4" w:rsidRPr="009613C6">
        <w:rPr>
          <w:rFonts w:ascii="Verdana" w:hAnsi="Verdana"/>
          <w:sz w:val="21"/>
          <w:szCs w:val="21"/>
        </w:rPr>
        <w:t>corruzione</w:t>
      </w:r>
      <w:r w:rsidR="0021754A" w:rsidRPr="009613C6">
        <w:rPr>
          <w:rFonts w:ascii="Verdana" w:hAnsi="Verdana"/>
          <w:sz w:val="21"/>
          <w:szCs w:val="21"/>
        </w:rPr>
        <w:t xml:space="preserve"> nella PA</w:t>
      </w:r>
      <w:r w:rsidR="00087EC4" w:rsidRPr="009613C6">
        <w:rPr>
          <w:rFonts w:ascii="Verdana" w:hAnsi="Verdana"/>
          <w:i/>
          <w:iCs/>
          <w:sz w:val="21"/>
          <w:szCs w:val="21"/>
        </w:rPr>
        <w:t xml:space="preserve"> </w:t>
      </w:r>
      <w:r w:rsidR="00087EC4" w:rsidRPr="009613C6">
        <w:rPr>
          <w:rFonts w:ascii="Verdana" w:hAnsi="Verdana"/>
          <w:sz w:val="21"/>
          <w:szCs w:val="21"/>
        </w:rPr>
        <w:t xml:space="preserve">per </w:t>
      </w:r>
      <w:r w:rsidR="0021754A" w:rsidRPr="009613C6">
        <w:rPr>
          <w:rFonts w:ascii="Verdana" w:hAnsi="Verdana"/>
          <w:sz w:val="21"/>
          <w:szCs w:val="21"/>
        </w:rPr>
        <w:t>i nuovi assu</w:t>
      </w:r>
      <w:r w:rsidR="006E7882" w:rsidRPr="009613C6">
        <w:rPr>
          <w:rFonts w:ascii="Verdana" w:hAnsi="Verdana"/>
          <w:sz w:val="21"/>
          <w:szCs w:val="21"/>
        </w:rPr>
        <w:t>nti</w:t>
      </w:r>
      <w:r w:rsidR="0021754A" w:rsidRPr="009613C6">
        <w:rPr>
          <w:rFonts w:ascii="Verdana" w:hAnsi="Verdana"/>
          <w:sz w:val="21"/>
          <w:szCs w:val="21"/>
        </w:rPr>
        <w:t>;</w:t>
      </w:r>
      <w:r w:rsidR="009758D2" w:rsidRPr="009613C6">
        <w:rPr>
          <w:rFonts w:ascii="Verdana" w:hAnsi="Verdana"/>
          <w:sz w:val="21"/>
          <w:szCs w:val="21"/>
        </w:rPr>
        <w:t xml:space="preserve"> </w:t>
      </w:r>
    </w:p>
    <w:p w14:paraId="37787152" w14:textId="77777777" w:rsidR="00CA3680" w:rsidRPr="009613C6" w:rsidRDefault="00CA3680" w:rsidP="00E12C5F">
      <w:pPr>
        <w:pStyle w:val="Paragrafoelenco"/>
        <w:spacing w:afterLines="30" w:after="72" w:line="240" w:lineRule="auto"/>
        <w:ind w:left="426"/>
        <w:jc w:val="both"/>
        <w:rPr>
          <w:rFonts w:ascii="Verdana" w:hAnsi="Verdana"/>
          <w:sz w:val="21"/>
          <w:szCs w:val="21"/>
        </w:rPr>
      </w:pPr>
    </w:p>
    <w:p w14:paraId="22A0380C" w14:textId="77777777" w:rsidR="00920308" w:rsidRPr="009613C6" w:rsidRDefault="00B83EE8" w:rsidP="00327D29">
      <w:pPr>
        <w:pStyle w:val="Paragrafoelenco"/>
        <w:numPr>
          <w:ilvl w:val="0"/>
          <w:numId w:val="21"/>
        </w:numPr>
        <w:spacing w:after="30" w:line="240" w:lineRule="auto"/>
        <w:jc w:val="both"/>
        <w:rPr>
          <w:rFonts w:ascii="Verdana" w:hAnsi="Verdana"/>
          <w:sz w:val="21"/>
          <w:szCs w:val="21"/>
        </w:rPr>
      </w:pPr>
      <w:r w:rsidRPr="009613C6">
        <w:rPr>
          <w:rFonts w:ascii="Verdana" w:hAnsi="Verdana"/>
          <w:sz w:val="21"/>
          <w:szCs w:val="21"/>
        </w:rPr>
        <w:t>livello specifico rivolto al responsabile della prevenzione della corruzione e dell</w:t>
      </w:r>
      <w:r w:rsidR="00D67710" w:rsidRPr="009613C6">
        <w:rPr>
          <w:rFonts w:ascii="Verdana" w:hAnsi="Verdana"/>
          <w:sz w:val="21"/>
          <w:szCs w:val="21"/>
        </w:rPr>
        <w:t>a</w:t>
      </w:r>
      <w:r w:rsidRPr="009613C6">
        <w:rPr>
          <w:rFonts w:ascii="Verdana" w:hAnsi="Verdana"/>
          <w:sz w:val="21"/>
          <w:szCs w:val="21"/>
        </w:rPr>
        <w:t xml:space="preserve"> trasparenza e ai componenti del gruppo di supporto, ai componenti degli organismi di controllo, ai dirigenti e funzionari addetti alle aree a rischio e ai dipende</w:t>
      </w:r>
      <w:r w:rsidR="00D67710" w:rsidRPr="009613C6">
        <w:rPr>
          <w:rFonts w:ascii="Verdana" w:hAnsi="Verdana"/>
          <w:sz w:val="21"/>
          <w:szCs w:val="21"/>
        </w:rPr>
        <w:t>nti.</w:t>
      </w:r>
    </w:p>
    <w:p w14:paraId="7792F55B" w14:textId="77777777" w:rsidR="00920308" w:rsidRPr="009613C6" w:rsidRDefault="00920308" w:rsidP="00920308">
      <w:pPr>
        <w:pStyle w:val="Paragrafoelenco"/>
        <w:rPr>
          <w:rFonts w:ascii="Verdana" w:hAnsi="Verdana"/>
          <w:sz w:val="21"/>
          <w:szCs w:val="21"/>
        </w:rPr>
      </w:pPr>
    </w:p>
    <w:p w14:paraId="5BDB8B75" w14:textId="77777777" w:rsidR="00BA6AC7" w:rsidRDefault="00D67710" w:rsidP="00B864B4">
      <w:pPr>
        <w:pStyle w:val="Paragrafoelenco"/>
        <w:spacing w:after="30" w:line="240" w:lineRule="auto"/>
        <w:ind w:left="0"/>
        <w:jc w:val="both"/>
        <w:rPr>
          <w:rFonts w:ascii="Verdana" w:hAnsi="Verdana"/>
          <w:sz w:val="21"/>
          <w:szCs w:val="21"/>
        </w:rPr>
      </w:pPr>
      <w:r w:rsidRPr="009613C6">
        <w:rPr>
          <w:rFonts w:ascii="Verdana" w:hAnsi="Verdana"/>
          <w:sz w:val="21"/>
          <w:szCs w:val="21"/>
        </w:rPr>
        <w:t xml:space="preserve">Detta formazione sarà </w:t>
      </w:r>
      <w:r w:rsidR="00BA6AC7" w:rsidRPr="009613C6">
        <w:rPr>
          <w:rFonts w:ascii="Verdana" w:hAnsi="Verdana"/>
          <w:sz w:val="21"/>
          <w:szCs w:val="21"/>
        </w:rPr>
        <w:t>definita in armonia con l</w:t>
      </w:r>
      <w:r w:rsidR="00110BB3" w:rsidRPr="009613C6">
        <w:rPr>
          <w:rFonts w:ascii="Verdana" w:hAnsi="Verdana"/>
          <w:sz w:val="21"/>
          <w:szCs w:val="21"/>
        </w:rPr>
        <w:t>a</w:t>
      </w:r>
      <w:r w:rsidR="00BA6AC7" w:rsidRPr="009613C6">
        <w:rPr>
          <w:rFonts w:ascii="Verdana" w:hAnsi="Verdana"/>
          <w:sz w:val="21"/>
          <w:szCs w:val="21"/>
        </w:rPr>
        <w:t xml:space="preserve"> programmazione dell’Organismo di </w:t>
      </w:r>
      <w:r w:rsidRPr="009613C6">
        <w:rPr>
          <w:rFonts w:ascii="Verdana" w:hAnsi="Verdana"/>
          <w:sz w:val="21"/>
          <w:szCs w:val="21"/>
        </w:rPr>
        <w:t>V</w:t>
      </w:r>
      <w:r w:rsidR="00BA6AC7" w:rsidRPr="009613C6">
        <w:rPr>
          <w:rFonts w:ascii="Verdana" w:hAnsi="Verdana"/>
          <w:sz w:val="21"/>
          <w:szCs w:val="21"/>
        </w:rPr>
        <w:t>igilanza 231</w:t>
      </w:r>
      <w:r w:rsidR="00EC72D2" w:rsidRPr="009613C6">
        <w:rPr>
          <w:rFonts w:ascii="Verdana" w:hAnsi="Verdana"/>
          <w:sz w:val="21"/>
          <w:szCs w:val="21"/>
        </w:rPr>
        <w:t xml:space="preserve">. </w:t>
      </w:r>
      <w:r w:rsidR="00EC72D2" w:rsidRPr="00D675D9">
        <w:rPr>
          <w:rFonts w:ascii="Verdana" w:hAnsi="Verdana"/>
          <w:sz w:val="21"/>
          <w:szCs w:val="21"/>
        </w:rPr>
        <w:t>Al momento della redazione del presente piano sono previsti momenti formativi a cura dell’</w:t>
      </w:r>
      <w:proofErr w:type="spellStart"/>
      <w:r w:rsidR="00EC72D2" w:rsidRPr="00D675D9">
        <w:rPr>
          <w:rFonts w:ascii="Verdana" w:hAnsi="Verdana"/>
          <w:sz w:val="21"/>
          <w:szCs w:val="21"/>
        </w:rPr>
        <w:t>Od</w:t>
      </w:r>
      <w:r w:rsidRPr="00D675D9">
        <w:rPr>
          <w:rFonts w:ascii="Verdana" w:hAnsi="Verdana"/>
          <w:sz w:val="21"/>
          <w:szCs w:val="21"/>
        </w:rPr>
        <w:t>V</w:t>
      </w:r>
      <w:proofErr w:type="spellEnd"/>
      <w:r w:rsidR="00EC72D2" w:rsidRPr="00D675D9">
        <w:rPr>
          <w:rFonts w:ascii="Verdana" w:hAnsi="Verdana"/>
          <w:sz w:val="21"/>
          <w:szCs w:val="21"/>
        </w:rPr>
        <w:t xml:space="preserve"> su:</w:t>
      </w:r>
    </w:p>
    <w:p w14:paraId="58DC556E" w14:textId="77777777" w:rsidR="00350F02" w:rsidRPr="00D675D9" w:rsidRDefault="00350F02" w:rsidP="00B864B4">
      <w:pPr>
        <w:pStyle w:val="Paragrafoelenco"/>
        <w:spacing w:after="30" w:line="240" w:lineRule="auto"/>
        <w:ind w:left="0"/>
        <w:jc w:val="both"/>
        <w:rPr>
          <w:rFonts w:ascii="Verdana" w:hAnsi="Verdana"/>
          <w:sz w:val="21"/>
          <w:szCs w:val="21"/>
        </w:rPr>
      </w:pPr>
    </w:p>
    <w:p w14:paraId="1081FAD2" w14:textId="5ED42414" w:rsidR="00EC72D2" w:rsidRPr="00D675D9" w:rsidRDefault="00EC72D2" w:rsidP="00327D29">
      <w:pPr>
        <w:pStyle w:val="Paragrafoelenco"/>
        <w:numPr>
          <w:ilvl w:val="0"/>
          <w:numId w:val="10"/>
        </w:numPr>
        <w:spacing w:after="30" w:line="240" w:lineRule="auto"/>
        <w:jc w:val="both"/>
        <w:rPr>
          <w:rFonts w:ascii="Verdana" w:hAnsi="Verdana"/>
          <w:sz w:val="21"/>
          <w:szCs w:val="21"/>
        </w:rPr>
      </w:pPr>
      <w:r w:rsidRPr="00D675D9">
        <w:rPr>
          <w:rFonts w:ascii="Verdana" w:hAnsi="Verdana"/>
          <w:sz w:val="21"/>
          <w:szCs w:val="21"/>
        </w:rPr>
        <w:t xml:space="preserve">aggiornamento </w:t>
      </w:r>
      <w:r w:rsidR="00B426C4" w:rsidRPr="00D675D9">
        <w:rPr>
          <w:rFonts w:ascii="Verdana" w:hAnsi="Verdana"/>
          <w:sz w:val="21"/>
          <w:szCs w:val="21"/>
        </w:rPr>
        <w:t xml:space="preserve">procedura di </w:t>
      </w:r>
      <w:r w:rsidR="00D67710" w:rsidRPr="00D675D9">
        <w:rPr>
          <w:rFonts w:ascii="Verdana" w:hAnsi="Verdana"/>
          <w:sz w:val="21"/>
          <w:szCs w:val="21"/>
        </w:rPr>
        <w:t>segnalazion</w:t>
      </w:r>
      <w:r w:rsidR="00B426C4" w:rsidRPr="00D675D9">
        <w:rPr>
          <w:rFonts w:ascii="Verdana" w:hAnsi="Verdana"/>
          <w:sz w:val="21"/>
          <w:szCs w:val="21"/>
        </w:rPr>
        <w:t xml:space="preserve">e e regolamento </w:t>
      </w:r>
      <w:r w:rsidRPr="00D675D9">
        <w:rPr>
          <w:rFonts w:ascii="Verdana" w:hAnsi="Verdana"/>
          <w:sz w:val="21"/>
          <w:szCs w:val="21"/>
        </w:rPr>
        <w:t>whistleblowing</w:t>
      </w:r>
      <w:r w:rsidR="00B864B4" w:rsidRPr="00D675D9">
        <w:rPr>
          <w:rFonts w:ascii="Verdana" w:hAnsi="Verdana"/>
          <w:sz w:val="21"/>
          <w:szCs w:val="21"/>
        </w:rPr>
        <w:t xml:space="preserve"> e</w:t>
      </w:r>
      <w:r w:rsidRPr="00D675D9">
        <w:rPr>
          <w:rFonts w:ascii="Verdana" w:hAnsi="Verdana"/>
          <w:sz w:val="21"/>
          <w:szCs w:val="21"/>
        </w:rPr>
        <w:t xml:space="preserve"> </w:t>
      </w:r>
      <w:r w:rsidR="00B864B4" w:rsidRPr="00D675D9">
        <w:rPr>
          <w:rFonts w:ascii="Verdana" w:hAnsi="Verdana"/>
          <w:sz w:val="21"/>
          <w:szCs w:val="21"/>
        </w:rPr>
        <w:t xml:space="preserve">contenuti del Codice Etico e Comportamentale </w:t>
      </w:r>
      <w:r w:rsidRPr="00D675D9">
        <w:rPr>
          <w:rFonts w:ascii="Verdana" w:hAnsi="Verdana"/>
          <w:sz w:val="21"/>
          <w:szCs w:val="21"/>
        </w:rPr>
        <w:t>(per coordinatori sanitari e medici,</w:t>
      </w:r>
      <w:r w:rsidR="003C0523">
        <w:rPr>
          <w:rFonts w:ascii="Verdana" w:hAnsi="Verdana"/>
          <w:sz w:val="21"/>
          <w:szCs w:val="21"/>
        </w:rPr>
        <w:t xml:space="preserve"> in continuità con </w:t>
      </w:r>
      <w:r w:rsidRPr="00D675D9">
        <w:rPr>
          <w:rFonts w:ascii="Verdana" w:hAnsi="Verdana"/>
          <w:sz w:val="21"/>
          <w:szCs w:val="21"/>
        </w:rPr>
        <w:t xml:space="preserve">quanto già proposto ai coordinatori amministrativi </w:t>
      </w:r>
      <w:r w:rsidR="00BB6EE1" w:rsidRPr="00D675D9">
        <w:rPr>
          <w:rFonts w:ascii="Verdana" w:hAnsi="Verdana"/>
          <w:sz w:val="21"/>
          <w:szCs w:val="21"/>
        </w:rPr>
        <w:t xml:space="preserve">e sanitari </w:t>
      </w:r>
      <w:r w:rsidRPr="00D675D9">
        <w:rPr>
          <w:rFonts w:ascii="Verdana" w:hAnsi="Verdana"/>
          <w:sz w:val="21"/>
          <w:szCs w:val="21"/>
        </w:rPr>
        <w:t xml:space="preserve">nel </w:t>
      </w:r>
      <w:r w:rsidR="00BB6EE1" w:rsidRPr="00D675D9">
        <w:rPr>
          <w:rFonts w:ascii="Verdana" w:hAnsi="Verdana"/>
          <w:sz w:val="21"/>
          <w:szCs w:val="21"/>
        </w:rPr>
        <w:t xml:space="preserve">2023 e nel </w:t>
      </w:r>
      <w:r w:rsidRPr="00D675D9">
        <w:rPr>
          <w:rFonts w:ascii="Verdana" w:hAnsi="Verdana"/>
          <w:sz w:val="21"/>
          <w:szCs w:val="21"/>
        </w:rPr>
        <w:t>202</w:t>
      </w:r>
      <w:r w:rsidR="00BB6EE1" w:rsidRPr="00D675D9">
        <w:rPr>
          <w:rFonts w:ascii="Verdana" w:hAnsi="Verdana"/>
          <w:sz w:val="21"/>
          <w:szCs w:val="21"/>
        </w:rPr>
        <w:t>4</w:t>
      </w:r>
      <w:r w:rsidRPr="00D675D9">
        <w:rPr>
          <w:rFonts w:ascii="Verdana" w:hAnsi="Verdana"/>
          <w:sz w:val="21"/>
          <w:szCs w:val="21"/>
        </w:rPr>
        <w:t>)</w:t>
      </w:r>
    </w:p>
    <w:p w14:paraId="658012AB" w14:textId="77777777" w:rsidR="00EC72D2" w:rsidRDefault="00DE493F" w:rsidP="00327D29">
      <w:pPr>
        <w:pStyle w:val="Paragrafoelenco"/>
        <w:numPr>
          <w:ilvl w:val="0"/>
          <w:numId w:val="10"/>
        </w:numPr>
        <w:spacing w:after="30" w:line="240" w:lineRule="auto"/>
        <w:jc w:val="both"/>
        <w:rPr>
          <w:rFonts w:ascii="Verdana" w:hAnsi="Verdana"/>
          <w:sz w:val="21"/>
          <w:szCs w:val="21"/>
        </w:rPr>
      </w:pPr>
      <w:r w:rsidRPr="009E3B0D">
        <w:rPr>
          <w:rFonts w:ascii="Verdana" w:hAnsi="Verdana"/>
          <w:sz w:val="21"/>
          <w:szCs w:val="21"/>
        </w:rPr>
        <w:t>reati informatici</w:t>
      </w:r>
      <w:r w:rsidR="00D67710" w:rsidRPr="009E3B0D">
        <w:rPr>
          <w:rFonts w:ascii="Verdana" w:hAnsi="Verdana"/>
          <w:sz w:val="21"/>
          <w:szCs w:val="21"/>
        </w:rPr>
        <w:t>.</w:t>
      </w:r>
    </w:p>
    <w:p w14:paraId="3DA7E2E1" w14:textId="77777777" w:rsidR="00957F9A" w:rsidRPr="009E3B0D" w:rsidRDefault="00957F9A" w:rsidP="00957F9A">
      <w:pPr>
        <w:pStyle w:val="Paragrafoelenco"/>
        <w:spacing w:after="30" w:line="240" w:lineRule="auto"/>
        <w:jc w:val="both"/>
        <w:rPr>
          <w:rFonts w:ascii="Verdana" w:hAnsi="Verdana"/>
          <w:sz w:val="21"/>
          <w:szCs w:val="21"/>
        </w:rPr>
      </w:pPr>
    </w:p>
    <w:p w14:paraId="5DA5E742" w14:textId="2A6DBF08" w:rsidR="00D67710" w:rsidRPr="00B40F8A" w:rsidRDefault="00D569C5" w:rsidP="00B864B4">
      <w:pPr>
        <w:pStyle w:val="Paragrafoelenco"/>
        <w:spacing w:after="30" w:line="240" w:lineRule="auto"/>
        <w:ind w:left="0"/>
        <w:jc w:val="both"/>
        <w:rPr>
          <w:rFonts w:ascii="Verdana" w:hAnsi="Verdana"/>
          <w:sz w:val="21"/>
          <w:szCs w:val="21"/>
        </w:rPr>
      </w:pPr>
      <w:r w:rsidRPr="00B40F8A">
        <w:rPr>
          <w:rFonts w:ascii="Verdana" w:hAnsi="Verdana"/>
          <w:sz w:val="21"/>
          <w:szCs w:val="21"/>
        </w:rPr>
        <w:t>La</w:t>
      </w:r>
      <w:r w:rsidR="003D4230" w:rsidRPr="00B40F8A">
        <w:rPr>
          <w:rFonts w:ascii="Verdana" w:hAnsi="Verdana"/>
          <w:sz w:val="21"/>
          <w:szCs w:val="21"/>
        </w:rPr>
        <w:t xml:space="preserve"> locandina della Giornata della Trasparenza organizzata</w:t>
      </w:r>
      <w:r w:rsidRPr="00B40F8A">
        <w:rPr>
          <w:rFonts w:ascii="Verdana" w:hAnsi="Verdana"/>
          <w:sz w:val="21"/>
          <w:szCs w:val="21"/>
        </w:rPr>
        <w:t xml:space="preserve"> annualmente</w:t>
      </w:r>
      <w:r w:rsidR="003D4230" w:rsidRPr="00B40F8A">
        <w:rPr>
          <w:rFonts w:ascii="Verdana" w:hAnsi="Verdana"/>
          <w:sz w:val="21"/>
          <w:szCs w:val="21"/>
        </w:rPr>
        <w:t xml:space="preserve"> dalle Aziende Sanitarie di Area Vasta Emilia Centro e Ausl della Romagna in programma per il giorno 20.02.2026 </w:t>
      </w:r>
      <w:r w:rsidRPr="00B40F8A">
        <w:rPr>
          <w:rFonts w:ascii="Verdana" w:hAnsi="Verdana"/>
          <w:sz w:val="21"/>
          <w:szCs w:val="21"/>
        </w:rPr>
        <w:t>è stata</w:t>
      </w:r>
      <w:r w:rsidR="003D4230" w:rsidRPr="00B40F8A">
        <w:rPr>
          <w:rFonts w:ascii="Verdana" w:hAnsi="Verdana"/>
          <w:sz w:val="21"/>
          <w:szCs w:val="21"/>
        </w:rPr>
        <w:t xml:space="preserve"> pubblic</w:t>
      </w:r>
      <w:r w:rsidRPr="00B40F8A">
        <w:rPr>
          <w:rFonts w:ascii="Verdana" w:hAnsi="Verdana"/>
          <w:sz w:val="21"/>
          <w:szCs w:val="21"/>
        </w:rPr>
        <w:t>ata</w:t>
      </w:r>
      <w:r w:rsidR="003D4230" w:rsidRPr="00B40F8A">
        <w:rPr>
          <w:rFonts w:ascii="Verdana" w:hAnsi="Verdana"/>
          <w:sz w:val="21"/>
          <w:szCs w:val="21"/>
        </w:rPr>
        <w:t xml:space="preserve"> anche nel sito istituzionale della MRI</w:t>
      </w:r>
      <w:r w:rsidR="005022E3">
        <w:rPr>
          <w:rFonts w:ascii="Verdana" w:hAnsi="Verdana"/>
          <w:sz w:val="21"/>
          <w:szCs w:val="21"/>
        </w:rPr>
        <w:t xml:space="preserve">; </w:t>
      </w:r>
      <w:r w:rsidR="00957F9A" w:rsidRPr="006E3157">
        <w:rPr>
          <w:rFonts w:ascii="Verdana" w:hAnsi="Verdana"/>
          <w:sz w:val="21"/>
          <w:szCs w:val="21"/>
        </w:rPr>
        <w:t>l’evento è stato seguito dall’</w:t>
      </w:r>
      <w:r w:rsidR="005022E3" w:rsidRPr="006E3157">
        <w:rPr>
          <w:rFonts w:ascii="Verdana" w:hAnsi="Verdana"/>
          <w:sz w:val="21"/>
          <w:szCs w:val="21"/>
        </w:rPr>
        <w:t>RPCT.</w:t>
      </w:r>
      <w:r w:rsidR="005022E3">
        <w:rPr>
          <w:rFonts w:ascii="Verdana" w:hAnsi="Verdana"/>
          <w:sz w:val="21"/>
          <w:szCs w:val="21"/>
        </w:rPr>
        <w:t xml:space="preserve"> </w:t>
      </w:r>
    </w:p>
    <w:p w14:paraId="40A5B900" w14:textId="77777777" w:rsidR="00920308" w:rsidRDefault="00920308" w:rsidP="00920308">
      <w:pPr>
        <w:pStyle w:val="Paragrafoelenco"/>
        <w:spacing w:after="30" w:line="240" w:lineRule="auto"/>
        <w:ind w:left="0"/>
        <w:jc w:val="both"/>
        <w:rPr>
          <w:rFonts w:ascii="Verdana" w:hAnsi="Verdana"/>
          <w:sz w:val="21"/>
          <w:szCs w:val="21"/>
        </w:rPr>
      </w:pPr>
    </w:p>
    <w:p w14:paraId="79E0BE5A" w14:textId="77777777" w:rsidR="00DC28D5" w:rsidRPr="009613C6" w:rsidRDefault="00DC28D5" w:rsidP="00AA6C68">
      <w:pPr>
        <w:pStyle w:val="Titolo2"/>
        <w:spacing w:after="72"/>
        <w:rPr>
          <w:rFonts w:cs="Times New Roman"/>
          <w:szCs w:val="24"/>
        </w:rPr>
      </w:pPr>
      <w:bookmarkStart w:id="30" w:name="_Toc225863547"/>
      <w:r w:rsidRPr="009613C6">
        <w:rPr>
          <w:rFonts w:cs="Times New Roman"/>
          <w:szCs w:val="24"/>
        </w:rPr>
        <w:t>I.7 WHISTLEBLOWING</w:t>
      </w:r>
      <w:bookmarkEnd w:id="30"/>
      <w:r w:rsidRPr="009613C6">
        <w:rPr>
          <w:rFonts w:cs="Times New Roman"/>
          <w:szCs w:val="24"/>
        </w:rPr>
        <w:t xml:space="preserve"> </w:t>
      </w:r>
    </w:p>
    <w:p w14:paraId="3DF37B7B" w14:textId="77777777" w:rsidR="00DE493F" w:rsidRDefault="00932C33" w:rsidP="000134AC">
      <w:pPr>
        <w:spacing w:afterLines="30" w:after="72" w:line="240" w:lineRule="auto"/>
        <w:jc w:val="both"/>
        <w:rPr>
          <w:rFonts w:ascii="Verdana" w:hAnsi="Verdana"/>
          <w:sz w:val="21"/>
          <w:szCs w:val="21"/>
        </w:rPr>
      </w:pPr>
      <w:r>
        <w:rPr>
          <w:rFonts w:ascii="Verdana" w:hAnsi="Verdana"/>
          <w:sz w:val="21"/>
          <w:szCs w:val="21"/>
        </w:rPr>
        <w:t>N</w:t>
      </w:r>
      <w:r w:rsidR="00D10552" w:rsidRPr="009613C6">
        <w:rPr>
          <w:rFonts w:ascii="Verdana" w:hAnsi="Verdana"/>
          <w:sz w:val="21"/>
          <w:szCs w:val="21"/>
        </w:rPr>
        <w:t xml:space="preserve">el corso del 2023 </w:t>
      </w:r>
      <w:r>
        <w:rPr>
          <w:rFonts w:ascii="Verdana" w:hAnsi="Verdana"/>
          <w:sz w:val="21"/>
          <w:szCs w:val="21"/>
        </w:rPr>
        <w:t xml:space="preserve">è stato </w:t>
      </w:r>
      <w:r w:rsidR="00D10552" w:rsidRPr="009613C6">
        <w:rPr>
          <w:rFonts w:ascii="Verdana" w:hAnsi="Verdana"/>
          <w:sz w:val="21"/>
          <w:szCs w:val="21"/>
        </w:rPr>
        <w:t xml:space="preserve">aggiornato </w:t>
      </w:r>
      <w:r w:rsidR="00DC28D5" w:rsidRPr="009613C6">
        <w:rPr>
          <w:rFonts w:ascii="Verdana" w:hAnsi="Verdana"/>
          <w:sz w:val="21"/>
          <w:szCs w:val="21"/>
        </w:rPr>
        <w:t xml:space="preserve">l’allegato 1 </w:t>
      </w:r>
      <w:r w:rsidR="00D10552" w:rsidRPr="009613C6">
        <w:rPr>
          <w:rFonts w:ascii="Verdana" w:hAnsi="Verdana"/>
          <w:sz w:val="21"/>
          <w:szCs w:val="21"/>
        </w:rPr>
        <w:t xml:space="preserve">alla parte generale del MOG </w:t>
      </w:r>
      <w:r w:rsidR="00DC28D5" w:rsidRPr="009613C6">
        <w:rPr>
          <w:rFonts w:ascii="Verdana" w:hAnsi="Verdana"/>
          <w:sz w:val="21"/>
          <w:szCs w:val="21"/>
        </w:rPr>
        <w:t>“</w:t>
      </w:r>
      <w:r w:rsidR="008B1FEF" w:rsidRPr="009613C6">
        <w:rPr>
          <w:rFonts w:ascii="Verdana" w:hAnsi="Verdana"/>
          <w:i/>
          <w:iCs/>
          <w:sz w:val="21"/>
          <w:szCs w:val="21"/>
        </w:rPr>
        <w:t xml:space="preserve">Procedura di segnalazione e regolamento whistleblowing ai sensi del </w:t>
      </w:r>
      <w:proofErr w:type="spellStart"/>
      <w:r w:rsidR="008B1FEF" w:rsidRPr="009613C6">
        <w:rPr>
          <w:rFonts w:ascii="Verdana" w:hAnsi="Verdana"/>
          <w:i/>
          <w:iCs/>
          <w:sz w:val="21"/>
          <w:szCs w:val="21"/>
        </w:rPr>
        <w:t>D.Lgs.</w:t>
      </w:r>
      <w:proofErr w:type="spellEnd"/>
      <w:r w:rsidR="008B1FEF" w:rsidRPr="009613C6">
        <w:rPr>
          <w:rFonts w:ascii="Verdana" w:hAnsi="Verdana"/>
          <w:i/>
          <w:iCs/>
          <w:sz w:val="21"/>
          <w:szCs w:val="21"/>
        </w:rPr>
        <w:t xml:space="preserve"> 231/2001, della L. 190/2012 e del </w:t>
      </w:r>
      <w:proofErr w:type="spellStart"/>
      <w:r w:rsidR="008B1FEF" w:rsidRPr="009613C6">
        <w:rPr>
          <w:rFonts w:ascii="Verdana" w:hAnsi="Verdana"/>
          <w:i/>
          <w:iCs/>
          <w:sz w:val="21"/>
          <w:szCs w:val="21"/>
        </w:rPr>
        <w:t>D.Lgs.</w:t>
      </w:r>
      <w:proofErr w:type="spellEnd"/>
      <w:r w:rsidR="008B1FEF" w:rsidRPr="009613C6">
        <w:rPr>
          <w:rFonts w:ascii="Verdana" w:hAnsi="Verdana"/>
          <w:i/>
          <w:iCs/>
          <w:sz w:val="21"/>
          <w:szCs w:val="21"/>
        </w:rPr>
        <w:t xml:space="preserve"> 24/2023</w:t>
      </w:r>
      <w:r w:rsidR="000134AC" w:rsidRPr="009613C6">
        <w:rPr>
          <w:rFonts w:ascii="Verdana" w:hAnsi="Verdana"/>
          <w:sz w:val="21"/>
          <w:szCs w:val="21"/>
        </w:rPr>
        <w:t>”</w:t>
      </w:r>
      <w:r w:rsidR="00DC28D5" w:rsidRPr="009613C6">
        <w:rPr>
          <w:rFonts w:ascii="Verdana" w:hAnsi="Verdana"/>
          <w:b/>
          <w:sz w:val="21"/>
          <w:szCs w:val="21"/>
        </w:rPr>
        <w:t xml:space="preserve"> </w:t>
      </w:r>
      <w:r w:rsidR="00DC28D5" w:rsidRPr="009613C6">
        <w:rPr>
          <w:rFonts w:ascii="Verdana" w:hAnsi="Verdana"/>
          <w:sz w:val="21"/>
          <w:szCs w:val="21"/>
        </w:rPr>
        <w:t xml:space="preserve">volto a disciplinare la tutela e le modalità di segnalazione degli illeciti da parte di dipendenti o soggetti esterni della Società. </w:t>
      </w:r>
    </w:p>
    <w:p w14:paraId="40D4F008" w14:textId="694584DA" w:rsidR="00DC28D5" w:rsidRPr="009830D6" w:rsidRDefault="00DE493F" w:rsidP="000134AC">
      <w:pPr>
        <w:spacing w:afterLines="30" w:after="72" w:line="240" w:lineRule="auto"/>
        <w:jc w:val="both"/>
        <w:rPr>
          <w:rFonts w:ascii="Verdana" w:hAnsi="Verdana"/>
          <w:sz w:val="21"/>
          <w:szCs w:val="21"/>
        </w:rPr>
      </w:pPr>
      <w:r w:rsidRPr="009830D6">
        <w:rPr>
          <w:rFonts w:ascii="Verdana" w:hAnsi="Verdana"/>
          <w:sz w:val="21"/>
          <w:szCs w:val="21"/>
        </w:rPr>
        <w:t>Si prevede di verificarne l</w:t>
      </w:r>
      <w:r w:rsidR="00E27E47" w:rsidRPr="009830D6">
        <w:rPr>
          <w:rFonts w:ascii="Verdana" w:hAnsi="Verdana"/>
          <w:sz w:val="21"/>
          <w:szCs w:val="21"/>
        </w:rPr>
        <w:t>’</w:t>
      </w:r>
      <w:r w:rsidRPr="009830D6">
        <w:rPr>
          <w:rFonts w:ascii="Verdana" w:hAnsi="Verdana"/>
          <w:sz w:val="21"/>
          <w:szCs w:val="21"/>
        </w:rPr>
        <w:t>aderenza all</w:t>
      </w:r>
      <w:r w:rsidR="002177E9">
        <w:rPr>
          <w:rFonts w:ascii="Verdana" w:hAnsi="Verdana"/>
          <w:sz w:val="21"/>
          <w:szCs w:val="21"/>
        </w:rPr>
        <w:t>e</w:t>
      </w:r>
      <w:r w:rsidRPr="009830D6">
        <w:rPr>
          <w:rFonts w:ascii="Verdana" w:hAnsi="Verdana"/>
          <w:sz w:val="21"/>
          <w:szCs w:val="21"/>
        </w:rPr>
        <w:t xml:space="preserve"> deliber</w:t>
      </w:r>
      <w:r w:rsidR="002177E9">
        <w:rPr>
          <w:rFonts w:ascii="Verdana" w:hAnsi="Verdana"/>
          <w:sz w:val="21"/>
          <w:szCs w:val="21"/>
        </w:rPr>
        <w:t>e</w:t>
      </w:r>
      <w:r w:rsidRPr="009830D6">
        <w:rPr>
          <w:rFonts w:ascii="Verdana" w:hAnsi="Verdana"/>
          <w:sz w:val="21"/>
          <w:szCs w:val="21"/>
        </w:rPr>
        <w:t xml:space="preserve"> ANAC</w:t>
      </w:r>
      <w:r w:rsidR="00E27E47" w:rsidRPr="009830D6">
        <w:rPr>
          <w:rFonts w:ascii="Verdana" w:hAnsi="Verdana"/>
          <w:sz w:val="21"/>
          <w:szCs w:val="21"/>
        </w:rPr>
        <w:t xml:space="preserve"> n. </w:t>
      </w:r>
      <w:r w:rsidR="00E27E47" w:rsidRPr="006E3157">
        <w:rPr>
          <w:rFonts w:ascii="Verdana" w:hAnsi="Verdana"/>
          <w:sz w:val="21"/>
          <w:szCs w:val="21"/>
        </w:rPr>
        <w:t>478</w:t>
      </w:r>
      <w:r w:rsidR="002177E9" w:rsidRPr="006E3157">
        <w:rPr>
          <w:rFonts w:ascii="Verdana" w:hAnsi="Verdana"/>
          <w:sz w:val="21"/>
          <w:szCs w:val="21"/>
        </w:rPr>
        <w:t xml:space="preserve"> e n. 479</w:t>
      </w:r>
      <w:r w:rsidRPr="006E3157">
        <w:rPr>
          <w:rFonts w:ascii="Verdana" w:hAnsi="Verdana"/>
          <w:sz w:val="21"/>
          <w:szCs w:val="21"/>
        </w:rPr>
        <w:t xml:space="preserve"> di</w:t>
      </w:r>
      <w:r w:rsidRPr="009830D6">
        <w:rPr>
          <w:rFonts w:ascii="Verdana" w:hAnsi="Verdana"/>
          <w:sz w:val="21"/>
          <w:szCs w:val="21"/>
        </w:rPr>
        <w:t xml:space="preserve"> fine novembre 2025 e </w:t>
      </w:r>
      <w:r w:rsidR="00E27E47" w:rsidRPr="009830D6">
        <w:rPr>
          <w:rFonts w:ascii="Verdana" w:hAnsi="Verdana"/>
          <w:sz w:val="21"/>
          <w:szCs w:val="21"/>
        </w:rPr>
        <w:t xml:space="preserve">di </w:t>
      </w:r>
      <w:r w:rsidRPr="009830D6">
        <w:rPr>
          <w:rFonts w:ascii="Verdana" w:hAnsi="Verdana"/>
          <w:sz w:val="21"/>
          <w:szCs w:val="21"/>
        </w:rPr>
        <w:t>completare</w:t>
      </w:r>
      <w:r w:rsidR="00E27E47" w:rsidRPr="009830D6">
        <w:rPr>
          <w:rFonts w:ascii="Verdana" w:hAnsi="Verdana"/>
          <w:sz w:val="21"/>
          <w:szCs w:val="21"/>
        </w:rPr>
        <w:t xml:space="preserve"> l’</w:t>
      </w:r>
      <w:r w:rsidRPr="009830D6">
        <w:rPr>
          <w:rFonts w:ascii="Verdana" w:hAnsi="Verdana"/>
          <w:sz w:val="21"/>
          <w:szCs w:val="21"/>
        </w:rPr>
        <w:t>eventuale revisione entro la fine del 2026.</w:t>
      </w:r>
    </w:p>
    <w:p w14:paraId="44092E49" w14:textId="3D9775E2" w:rsidR="00F37EA6" w:rsidRPr="009830D6" w:rsidRDefault="00DC28D5" w:rsidP="00DE493F">
      <w:pPr>
        <w:spacing w:afterLines="30" w:after="72" w:line="240" w:lineRule="auto"/>
        <w:jc w:val="both"/>
        <w:textAlignment w:val="baseline"/>
        <w:rPr>
          <w:rFonts w:ascii="Verdana" w:hAnsi="Verdana"/>
          <w:sz w:val="21"/>
          <w:szCs w:val="21"/>
        </w:rPr>
      </w:pPr>
      <w:r w:rsidRPr="009830D6">
        <w:rPr>
          <w:rFonts w:ascii="Verdana" w:hAnsi="Verdana"/>
          <w:sz w:val="21"/>
          <w:szCs w:val="21"/>
        </w:rPr>
        <w:t>Nel corso del 202</w:t>
      </w:r>
      <w:r w:rsidR="00DE493F" w:rsidRPr="009830D6">
        <w:rPr>
          <w:rFonts w:ascii="Verdana" w:hAnsi="Verdana"/>
          <w:sz w:val="21"/>
          <w:szCs w:val="21"/>
        </w:rPr>
        <w:t>5</w:t>
      </w:r>
      <w:r w:rsidRPr="009830D6">
        <w:rPr>
          <w:rFonts w:ascii="Verdana" w:hAnsi="Verdana"/>
          <w:sz w:val="21"/>
          <w:szCs w:val="21"/>
        </w:rPr>
        <w:t xml:space="preserve"> </w:t>
      </w:r>
      <w:r w:rsidR="00DE493F" w:rsidRPr="009830D6">
        <w:rPr>
          <w:rFonts w:ascii="Verdana" w:hAnsi="Verdana"/>
          <w:sz w:val="21"/>
          <w:szCs w:val="21"/>
        </w:rPr>
        <w:t>non s</w:t>
      </w:r>
      <w:r w:rsidRPr="009830D6">
        <w:rPr>
          <w:rFonts w:ascii="Verdana" w:hAnsi="Verdana"/>
          <w:sz w:val="21"/>
          <w:szCs w:val="21"/>
        </w:rPr>
        <w:t xml:space="preserve">ono pervenute segnalazioni </w:t>
      </w:r>
      <w:r w:rsidR="00DE493F" w:rsidRPr="009830D6">
        <w:rPr>
          <w:rFonts w:ascii="Verdana" w:hAnsi="Verdana"/>
          <w:sz w:val="21"/>
          <w:szCs w:val="21"/>
        </w:rPr>
        <w:t xml:space="preserve">né </w:t>
      </w:r>
      <w:r w:rsidRPr="009830D6">
        <w:rPr>
          <w:rFonts w:ascii="Verdana" w:hAnsi="Verdana"/>
          <w:sz w:val="21"/>
          <w:szCs w:val="21"/>
        </w:rPr>
        <w:t xml:space="preserve">attraverso </w:t>
      </w:r>
      <w:r w:rsidR="00BB6EE1" w:rsidRPr="009830D6">
        <w:rPr>
          <w:rFonts w:ascii="Verdana" w:hAnsi="Verdana"/>
          <w:sz w:val="21"/>
          <w:szCs w:val="21"/>
        </w:rPr>
        <w:t>la piattaforma dedicata</w:t>
      </w:r>
      <w:r w:rsidR="000A17B0" w:rsidRPr="009830D6">
        <w:rPr>
          <w:rFonts w:ascii="Verdana" w:hAnsi="Verdana"/>
          <w:sz w:val="21"/>
          <w:szCs w:val="21"/>
        </w:rPr>
        <w:t xml:space="preserve"> di whistleblowing</w:t>
      </w:r>
      <w:r w:rsidR="00CC00D8" w:rsidRPr="009830D6">
        <w:rPr>
          <w:rFonts w:ascii="Verdana" w:hAnsi="Verdana"/>
          <w:sz w:val="21"/>
          <w:szCs w:val="21"/>
        </w:rPr>
        <w:t xml:space="preserve"> </w:t>
      </w:r>
      <w:r w:rsidR="00DE493F" w:rsidRPr="009830D6">
        <w:rPr>
          <w:rFonts w:ascii="Verdana" w:hAnsi="Verdana"/>
          <w:sz w:val="21"/>
          <w:szCs w:val="21"/>
        </w:rPr>
        <w:t xml:space="preserve">né attraverso le caselle </w:t>
      </w:r>
      <w:r w:rsidR="00E27E47" w:rsidRPr="009830D6">
        <w:rPr>
          <w:rFonts w:ascii="Verdana" w:hAnsi="Verdana"/>
          <w:sz w:val="21"/>
          <w:szCs w:val="21"/>
        </w:rPr>
        <w:t xml:space="preserve">di posta </w:t>
      </w:r>
      <w:r w:rsidR="00DE493F" w:rsidRPr="009830D6">
        <w:rPr>
          <w:rFonts w:ascii="Verdana" w:hAnsi="Verdana"/>
          <w:sz w:val="21"/>
          <w:szCs w:val="21"/>
        </w:rPr>
        <w:t xml:space="preserve">elettroniche e fisiche dedicate a RPCT o </w:t>
      </w:r>
      <w:proofErr w:type="spellStart"/>
      <w:r w:rsidR="00DE493F" w:rsidRPr="009830D6">
        <w:rPr>
          <w:rFonts w:ascii="Verdana" w:hAnsi="Verdana"/>
          <w:sz w:val="21"/>
          <w:szCs w:val="21"/>
        </w:rPr>
        <w:t>Od</w:t>
      </w:r>
      <w:r w:rsidR="00E27E47" w:rsidRPr="009830D6">
        <w:rPr>
          <w:rFonts w:ascii="Verdana" w:hAnsi="Verdana"/>
          <w:sz w:val="21"/>
          <w:szCs w:val="21"/>
        </w:rPr>
        <w:t>V</w:t>
      </w:r>
      <w:proofErr w:type="spellEnd"/>
      <w:r w:rsidR="00E27E47" w:rsidRPr="009830D6">
        <w:rPr>
          <w:rFonts w:ascii="Verdana" w:hAnsi="Verdana"/>
          <w:sz w:val="21"/>
          <w:szCs w:val="21"/>
        </w:rPr>
        <w:t>.</w:t>
      </w:r>
    </w:p>
    <w:p w14:paraId="2F417605" w14:textId="77777777" w:rsidR="00F37EA6" w:rsidRDefault="00F37EA6" w:rsidP="003B34AB">
      <w:pPr>
        <w:spacing w:afterLines="30" w:after="72" w:line="240" w:lineRule="auto"/>
        <w:jc w:val="both"/>
        <w:textAlignment w:val="baseline"/>
        <w:rPr>
          <w:rFonts w:ascii="Verdana" w:hAnsi="Verdana"/>
        </w:rPr>
      </w:pPr>
    </w:p>
    <w:p w14:paraId="7D596CF0" w14:textId="77777777" w:rsidR="003C0523" w:rsidRPr="0009315F" w:rsidRDefault="003C0523" w:rsidP="003B34AB">
      <w:pPr>
        <w:spacing w:afterLines="30" w:after="72" w:line="240" w:lineRule="auto"/>
        <w:jc w:val="both"/>
        <w:textAlignment w:val="baseline"/>
        <w:rPr>
          <w:rFonts w:ascii="Verdana" w:hAnsi="Verdana"/>
        </w:rPr>
      </w:pPr>
    </w:p>
    <w:p w14:paraId="6AB52C32" w14:textId="77777777" w:rsidR="00A205F9" w:rsidRPr="0092558C" w:rsidRDefault="00A205F9" w:rsidP="009613C6">
      <w:pPr>
        <w:pStyle w:val="Titolo1"/>
        <w:numPr>
          <w:ilvl w:val="0"/>
          <w:numId w:val="0"/>
        </w:numPr>
        <w:spacing w:afterLines="72" w:after="172"/>
        <w:rPr>
          <w:rFonts w:cs="Times New Roman"/>
          <w:bCs/>
          <w:color w:val="FF0000"/>
          <w:lang w:val="it-IT" w:eastAsia="it-IT"/>
        </w:rPr>
      </w:pPr>
      <w:bookmarkStart w:id="31" w:name="_Toc225863548"/>
      <w:r w:rsidRPr="0009315F">
        <w:rPr>
          <w:rFonts w:cs="Times New Roman"/>
          <w:bCs/>
          <w:lang w:val="it-IT" w:eastAsia="it-IT"/>
        </w:rPr>
        <w:t>L</w:t>
      </w:r>
      <w:r w:rsidR="006B6092">
        <w:rPr>
          <w:rFonts w:cs="Times New Roman"/>
          <w:bCs/>
          <w:lang w:eastAsia="it-IT"/>
        </w:rPr>
        <w:t>.</w:t>
      </w:r>
      <w:r w:rsidR="006B6092">
        <w:rPr>
          <w:rFonts w:cs="Times New Roman"/>
          <w:bCs/>
          <w:lang w:val="it-IT" w:eastAsia="it-IT"/>
        </w:rPr>
        <w:t xml:space="preserve"> </w:t>
      </w:r>
      <w:r w:rsidRPr="0009315F">
        <w:rPr>
          <w:rFonts w:cs="Times New Roman"/>
          <w:bCs/>
          <w:lang w:eastAsia="it-IT"/>
        </w:rPr>
        <w:t xml:space="preserve">TRATTAMENTO DEL RISCHIO: PREVISIONE DELLE </w:t>
      </w:r>
      <w:r w:rsidRPr="0009315F">
        <w:rPr>
          <w:rFonts w:cs="Times New Roman"/>
          <w:lang w:eastAsia="it-IT"/>
        </w:rPr>
        <w:t xml:space="preserve">MISURE </w:t>
      </w:r>
      <w:r w:rsidRPr="0009315F">
        <w:rPr>
          <w:rFonts w:cs="Times New Roman"/>
          <w:lang w:val="it-IT" w:eastAsia="it-IT"/>
        </w:rPr>
        <w:t>SPECIFICHE</w:t>
      </w:r>
      <w:bookmarkEnd w:id="31"/>
      <w:r w:rsidR="0092558C">
        <w:rPr>
          <w:rFonts w:cs="Times New Roman"/>
          <w:lang w:val="it-IT" w:eastAsia="it-IT"/>
        </w:rPr>
        <w:t xml:space="preserve"> </w:t>
      </w:r>
    </w:p>
    <w:p w14:paraId="436D617E" w14:textId="77777777" w:rsidR="00B235F4" w:rsidRPr="006F2D2A" w:rsidRDefault="00D65A06" w:rsidP="009613C6">
      <w:pPr>
        <w:spacing w:afterLines="72" w:after="172" w:line="240" w:lineRule="auto"/>
        <w:jc w:val="both"/>
        <w:rPr>
          <w:rFonts w:ascii="Verdana" w:hAnsi="Verdana"/>
          <w:sz w:val="21"/>
          <w:szCs w:val="21"/>
        </w:rPr>
      </w:pPr>
      <w:r w:rsidRPr="006F2D2A">
        <w:rPr>
          <w:rFonts w:ascii="Verdana" w:hAnsi="Verdana"/>
          <w:sz w:val="21"/>
          <w:szCs w:val="21"/>
        </w:rPr>
        <w:t xml:space="preserve">Per misura si intende ogni intervento organizzativo, iniziativa, azione o strumento di carattere preventivo ritenuto idoneo a neutralizzare o ridurre il livello di rischio. Le misure possono definirsi “specifiche” laddove incidono su </w:t>
      </w:r>
      <w:r w:rsidR="00B235F4" w:rsidRPr="006F2D2A">
        <w:rPr>
          <w:rFonts w:ascii="Verdana" w:hAnsi="Verdana"/>
          <w:sz w:val="21"/>
          <w:szCs w:val="21"/>
        </w:rPr>
        <w:t>particolari</w:t>
      </w:r>
      <w:r w:rsidRPr="006F2D2A">
        <w:rPr>
          <w:rFonts w:ascii="Verdana" w:hAnsi="Verdana"/>
          <w:sz w:val="21"/>
          <w:szCs w:val="21"/>
        </w:rPr>
        <w:t xml:space="preserve"> problemi individuati tramite l’analisi del rischio.</w:t>
      </w:r>
    </w:p>
    <w:p w14:paraId="5641E4C1" w14:textId="07B81E3C" w:rsidR="00B235F4" w:rsidRPr="009830D6" w:rsidRDefault="00D65A06" w:rsidP="00B235F4">
      <w:pPr>
        <w:spacing w:line="240" w:lineRule="auto"/>
        <w:jc w:val="both"/>
        <w:rPr>
          <w:rFonts w:ascii="Verdana" w:hAnsi="Verdana"/>
          <w:sz w:val="21"/>
          <w:szCs w:val="21"/>
        </w:rPr>
      </w:pPr>
      <w:r w:rsidRPr="0034047D">
        <w:rPr>
          <w:rFonts w:ascii="Verdana" w:hAnsi="Verdana"/>
          <w:sz w:val="21"/>
          <w:szCs w:val="21"/>
        </w:rPr>
        <w:t xml:space="preserve">Le misure specifiche </w:t>
      </w:r>
      <w:r w:rsidR="00E67203" w:rsidRPr="0034047D">
        <w:rPr>
          <w:rFonts w:ascii="Verdana" w:hAnsi="Verdana"/>
          <w:sz w:val="21"/>
          <w:szCs w:val="21"/>
        </w:rPr>
        <w:t>adottate dalla Società, improntate secondo criteri di gradualità e sostenibilità delle misure medesime</w:t>
      </w:r>
      <w:r w:rsidR="009322C1" w:rsidRPr="0034047D">
        <w:rPr>
          <w:rFonts w:ascii="Verdana" w:hAnsi="Verdana"/>
          <w:sz w:val="21"/>
          <w:szCs w:val="21"/>
        </w:rPr>
        <w:t xml:space="preserve"> tenuto conto delle peculiarità e dell’assetto organizzativo aziendale</w:t>
      </w:r>
      <w:r w:rsidR="00E67203" w:rsidRPr="0034047D">
        <w:rPr>
          <w:rFonts w:ascii="Verdana" w:hAnsi="Verdana"/>
          <w:sz w:val="21"/>
          <w:szCs w:val="21"/>
        </w:rPr>
        <w:t xml:space="preserve">, </w:t>
      </w:r>
      <w:r w:rsidRPr="0034047D">
        <w:rPr>
          <w:rFonts w:ascii="Verdana" w:hAnsi="Verdana"/>
          <w:sz w:val="21"/>
          <w:szCs w:val="21"/>
        </w:rPr>
        <w:t xml:space="preserve">sono </w:t>
      </w:r>
      <w:r w:rsidRPr="009830D6">
        <w:rPr>
          <w:rFonts w:ascii="Verdana" w:hAnsi="Verdana"/>
          <w:sz w:val="21"/>
          <w:szCs w:val="21"/>
        </w:rPr>
        <w:t>analizzate ne</w:t>
      </w:r>
      <w:r w:rsidR="003F4BD3" w:rsidRPr="009830D6">
        <w:rPr>
          <w:rFonts w:ascii="Verdana" w:hAnsi="Verdana"/>
          <w:sz w:val="21"/>
          <w:szCs w:val="21"/>
        </w:rPr>
        <w:t>l</w:t>
      </w:r>
      <w:r w:rsidRPr="009830D6">
        <w:rPr>
          <w:rFonts w:ascii="Verdana" w:hAnsi="Verdana"/>
          <w:sz w:val="21"/>
          <w:szCs w:val="21"/>
        </w:rPr>
        <w:t xml:space="preserve"> document</w:t>
      </w:r>
      <w:r w:rsidR="003F4BD3" w:rsidRPr="009830D6">
        <w:rPr>
          <w:rFonts w:ascii="Verdana" w:hAnsi="Verdana"/>
          <w:sz w:val="21"/>
          <w:szCs w:val="21"/>
        </w:rPr>
        <w:t>o</w:t>
      </w:r>
      <w:r w:rsidR="00B235F4" w:rsidRPr="009830D6">
        <w:rPr>
          <w:rFonts w:ascii="Verdana" w:hAnsi="Verdana"/>
          <w:sz w:val="21"/>
          <w:szCs w:val="21"/>
        </w:rPr>
        <w:t>:</w:t>
      </w:r>
    </w:p>
    <w:p w14:paraId="38F1B2FB" w14:textId="77777777" w:rsidR="008B450B" w:rsidRDefault="00D65A06" w:rsidP="00327D29">
      <w:pPr>
        <w:numPr>
          <w:ilvl w:val="0"/>
          <w:numId w:val="7"/>
        </w:numPr>
        <w:spacing w:line="240" w:lineRule="auto"/>
        <w:jc w:val="both"/>
        <w:rPr>
          <w:rFonts w:ascii="Verdana" w:hAnsi="Verdana"/>
          <w:sz w:val="21"/>
          <w:szCs w:val="21"/>
        </w:rPr>
      </w:pPr>
      <w:r w:rsidRPr="006F2D2A">
        <w:rPr>
          <w:rFonts w:ascii="Verdana" w:hAnsi="Verdana"/>
          <w:sz w:val="21"/>
          <w:szCs w:val="21"/>
        </w:rPr>
        <w:t xml:space="preserve">Allegato 2 PTPCT: </w:t>
      </w:r>
      <w:r w:rsidRPr="00AD2988">
        <w:rPr>
          <w:rFonts w:ascii="Verdana" w:hAnsi="Verdana"/>
          <w:sz w:val="21"/>
          <w:szCs w:val="21"/>
        </w:rPr>
        <w:t>MAPPATURA AREE DI RISCHIO</w:t>
      </w:r>
      <w:r w:rsidR="006912B5" w:rsidRPr="00AD2988">
        <w:rPr>
          <w:rFonts w:ascii="Verdana" w:hAnsi="Verdana"/>
          <w:sz w:val="21"/>
          <w:szCs w:val="21"/>
        </w:rPr>
        <w:t>/PROCESSI, REGISTRO DEI RISCHI E MISURE SPECIFICHE</w:t>
      </w:r>
      <w:r w:rsidRPr="006F2D2A">
        <w:rPr>
          <w:rFonts w:ascii="Verdana" w:hAnsi="Verdana"/>
          <w:sz w:val="21"/>
          <w:szCs w:val="21"/>
        </w:rPr>
        <w:t xml:space="preserve"> </w:t>
      </w:r>
    </w:p>
    <w:p w14:paraId="2B6C0C1F" w14:textId="77777777" w:rsidR="008B450B" w:rsidRDefault="008B450B" w:rsidP="008B450B">
      <w:pPr>
        <w:spacing w:line="240" w:lineRule="auto"/>
        <w:jc w:val="both"/>
        <w:rPr>
          <w:rFonts w:ascii="Verdana" w:hAnsi="Verdana"/>
          <w:sz w:val="21"/>
          <w:szCs w:val="21"/>
        </w:rPr>
      </w:pPr>
      <w:r w:rsidRPr="008B450B">
        <w:rPr>
          <w:rFonts w:ascii="Verdana" w:hAnsi="Verdana"/>
          <w:sz w:val="21"/>
          <w:szCs w:val="21"/>
        </w:rPr>
        <w:t>La tabella mette in relazione</w:t>
      </w:r>
      <w:r>
        <w:rPr>
          <w:rFonts w:ascii="Verdana" w:hAnsi="Verdana"/>
          <w:sz w:val="21"/>
          <w:szCs w:val="21"/>
        </w:rPr>
        <w:t>,</w:t>
      </w:r>
      <w:r w:rsidRPr="008B450B">
        <w:rPr>
          <w:rFonts w:ascii="Verdana" w:hAnsi="Verdana"/>
          <w:sz w:val="21"/>
          <w:szCs w:val="21"/>
        </w:rPr>
        <w:t xml:space="preserve"> a fronte di ogni </w:t>
      </w:r>
      <w:r>
        <w:rPr>
          <w:rFonts w:ascii="Verdana" w:hAnsi="Verdana"/>
          <w:sz w:val="21"/>
          <w:szCs w:val="21"/>
        </w:rPr>
        <w:t xml:space="preserve">area di </w:t>
      </w:r>
      <w:r w:rsidRPr="008B450B">
        <w:rPr>
          <w:rFonts w:ascii="Verdana" w:hAnsi="Verdana"/>
          <w:sz w:val="21"/>
          <w:szCs w:val="21"/>
        </w:rPr>
        <w:t>rischio individuat</w:t>
      </w:r>
      <w:r>
        <w:rPr>
          <w:rFonts w:ascii="Verdana" w:hAnsi="Verdana"/>
          <w:sz w:val="21"/>
          <w:szCs w:val="21"/>
        </w:rPr>
        <w:t>a</w:t>
      </w:r>
      <w:r w:rsidRPr="008B450B">
        <w:rPr>
          <w:rFonts w:ascii="Verdana" w:hAnsi="Verdana"/>
          <w:sz w:val="21"/>
          <w:szCs w:val="21"/>
        </w:rPr>
        <w:t xml:space="preserve"> sotto il profilo dell</w:t>
      </w:r>
      <w:r w:rsidR="005B24EF">
        <w:rPr>
          <w:rFonts w:ascii="Verdana" w:hAnsi="Verdana"/>
          <w:sz w:val="21"/>
          <w:szCs w:val="21"/>
        </w:rPr>
        <w:t>a prevenzione della corruzione</w:t>
      </w:r>
      <w:r w:rsidR="00B0757C">
        <w:rPr>
          <w:rFonts w:ascii="Verdana" w:hAnsi="Verdana"/>
          <w:sz w:val="21"/>
          <w:szCs w:val="21"/>
        </w:rPr>
        <w:t xml:space="preserve"> e dei relativi processi e sottoprocessi</w:t>
      </w:r>
      <w:r>
        <w:rPr>
          <w:rFonts w:ascii="Verdana" w:hAnsi="Verdana"/>
          <w:sz w:val="21"/>
          <w:szCs w:val="21"/>
        </w:rPr>
        <w:t xml:space="preserve">, </w:t>
      </w:r>
      <w:r w:rsidRPr="008B450B">
        <w:rPr>
          <w:rFonts w:ascii="Verdana" w:hAnsi="Verdana"/>
          <w:sz w:val="21"/>
          <w:szCs w:val="21"/>
        </w:rPr>
        <w:t>le procedure e le disposizioni già in atto</w:t>
      </w:r>
      <w:r>
        <w:rPr>
          <w:rFonts w:ascii="Verdana" w:hAnsi="Verdana"/>
          <w:sz w:val="21"/>
          <w:szCs w:val="21"/>
        </w:rPr>
        <w:t xml:space="preserve">, di modo che il livello di rischio (espresso secondo una graduazione tra “basso”, “medio” e “alto”) visualizza la valutazione </w:t>
      </w:r>
      <w:r w:rsidR="00B0757C">
        <w:rPr>
          <w:rFonts w:ascii="Verdana" w:hAnsi="Verdana"/>
          <w:sz w:val="21"/>
          <w:szCs w:val="21"/>
        </w:rPr>
        <w:t>condivisa rispetto a</w:t>
      </w:r>
      <w:r>
        <w:rPr>
          <w:rFonts w:ascii="Verdana" w:hAnsi="Verdana"/>
          <w:sz w:val="21"/>
          <w:szCs w:val="21"/>
        </w:rPr>
        <w:t>l rischio residuo.</w:t>
      </w:r>
    </w:p>
    <w:p w14:paraId="6B19B8EE" w14:textId="77777777" w:rsidR="008B450B" w:rsidRPr="00AD2988" w:rsidRDefault="008B450B" w:rsidP="008B450B">
      <w:pPr>
        <w:spacing w:line="240" w:lineRule="auto"/>
        <w:jc w:val="both"/>
        <w:rPr>
          <w:rFonts w:ascii="Verdana" w:hAnsi="Verdana"/>
          <w:sz w:val="21"/>
          <w:szCs w:val="21"/>
        </w:rPr>
      </w:pPr>
      <w:r>
        <w:rPr>
          <w:rFonts w:ascii="Verdana" w:hAnsi="Verdana"/>
          <w:sz w:val="21"/>
          <w:szCs w:val="21"/>
        </w:rPr>
        <w:t xml:space="preserve">Con la collaborazione dei coordinatori e delle figure referenti per ciascuna area di rischio, sono state poi individuate alcune misure specifiche aggiuntive, che si è ritenuto di poter programmare </w:t>
      </w:r>
      <w:r w:rsidRPr="003C0523">
        <w:rPr>
          <w:rFonts w:ascii="Verdana" w:hAnsi="Verdana"/>
          <w:sz w:val="21"/>
          <w:szCs w:val="21"/>
        </w:rPr>
        <w:t>per le annualità 202</w:t>
      </w:r>
      <w:r w:rsidR="00DE493F">
        <w:rPr>
          <w:rFonts w:ascii="Verdana" w:hAnsi="Verdana"/>
          <w:sz w:val="21"/>
          <w:szCs w:val="21"/>
        </w:rPr>
        <w:t>6</w:t>
      </w:r>
      <w:r w:rsidRPr="003C0523">
        <w:rPr>
          <w:rFonts w:ascii="Verdana" w:hAnsi="Verdana"/>
          <w:sz w:val="21"/>
          <w:szCs w:val="21"/>
        </w:rPr>
        <w:t xml:space="preserve"> o 202</w:t>
      </w:r>
      <w:r w:rsidR="00B77531" w:rsidRPr="003C0523">
        <w:rPr>
          <w:rFonts w:ascii="Verdana" w:hAnsi="Verdana"/>
          <w:sz w:val="21"/>
          <w:szCs w:val="21"/>
        </w:rPr>
        <w:t>7</w:t>
      </w:r>
      <w:r w:rsidR="00DE493F">
        <w:rPr>
          <w:rFonts w:ascii="Verdana" w:hAnsi="Verdana"/>
          <w:sz w:val="21"/>
          <w:szCs w:val="21"/>
        </w:rPr>
        <w:t xml:space="preserve"> o 2028</w:t>
      </w:r>
      <w:r w:rsidRPr="003C0523">
        <w:rPr>
          <w:rFonts w:ascii="Verdana" w:hAnsi="Verdana"/>
          <w:sz w:val="21"/>
          <w:szCs w:val="21"/>
        </w:rPr>
        <w:t xml:space="preserve"> (colonna H della tabella)</w:t>
      </w:r>
      <w:r w:rsidR="00E84CAE" w:rsidRPr="003C0523">
        <w:rPr>
          <w:rFonts w:ascii="Verdana" w:hAnsi="Verdana"/>
          <w:sz w:val="21"/>
          <w:szCs w:val="21"/>
        </w:rPr>
        <w:t>, concentrando</w:t>
      </w:r>
      <w:r w:rsidR="00E84CAE" w:rsidRPr="00AD2988">
        <w:rPr>
          <w:rFonts w:ascii="Verdana" w:hAnsi="Verdana"/>
          <w:sz w:val="21"/>
          <w:szCs w:val="21"/>
        </w:rPr>
        <w:t xml:space="preserve"> l’attenzione sugli ambiti a maggior rischio o quelli su cui è stato possibile individuare interventi effettivamente sostenibili dall’organizzazione in grado di migliorare l’organizzazione </w:t>
      </w:r>
      <w:r w:rsidR="00C5002C" w:rsidRPr="00AD2988">
        <w:rPr>
          <w:rFonts w:ascii="Verdana" w:hAnsi="Verdana"/>
          <w:sz w:val="21"/>
          <w:szCs w:val="21"/>
        </w:rPr>
        <w:t xml:space="preserve">stessa </w:t>
      </w:r>
      <w:r w:rsidR="00E84CAE" w:rsidRPr="00AD2988">
        <w:rPr>
          <w:rFonts w:ascii="Verdana" w:hAnsi="Verdana"/>
          <w:sz w:val="21"/>
          <w:szCs w:val="21"/>
        </w:rPr>
        <w:t>e rendere più efficienti/efficaci le misure in essere</w:t>
      </w:r>
      <w:r w:rsidRPr="00AD2988">
        <w:rPr>
          <w:rFonts w:ascii="Verdana" w:hAnsi="Verdana"/>
          <w:sz w:val="21"/>
          <w:szCs w:val="21"/>
        </w:rPr>
        <w:t>.</w:t>
      </w:r>
    </w:p>
    <w:p w14:paraId="54D88117" w14:textId="77777777" w:rsidR="00B0757C" w:rsidRPr="00AD2988" w:rsidRDefault="00B0757C" w:rsidP="008B450B">
      <w:pPr>
        <w:spacing w:line="240" w:lineRule="auto"/>
        <w:jc w:val="both"/>
        <w:rPr>
          <w:rFonts w:ascii="Verdana" w:hAnsi="Verdana"/>
          <w:sz w:val="21"/>
          <w:szCs w:val="21"/>
        </w:rPr>
      </w:pPr>
      <w:r w:rsidRPr="00AD2988">
        <w:rPr>
          <w:rFonts w:ascii="Verdana" w:hAnsi="Verdana"/>
          <w:sz w:val="21"/>
          <w:szCs w:val="21"/>
        </w:rPr>
        <w:t>Solo per queste misure aggiuntive, si è quindi dettagliato (colonne M,</w:t>
      </w:r>
      <w:r w:rsidR="00060CE3" w:rsidRPr="00AD2988">
        <w:rPr>
          <w:rFonts w:ascii="Verdana" w:hAnsi="Verdana"/>
          <w:sz w:val="21"/>
          <w:szCs w:val="21"/>
        </w:rPr>
        <w:t xml:space="preserve"> </w:t>
      </w:r>
      <w:r w:rsidRPr="00AD2988">
        <w:rPr>
          <w:rFonts w:ascii="Verdana" w:hAnsi="Verdana"/>
          <w:sz w:val="21"/>
          <w:szCs w:val="21"/>
        </w:rPr>
        <w:t>N,</w:t>
      </w:r>
      <w:r w:rsidR="00060CE3" w:rsidRPr="00AD2988">
        <w:rPr>
          <w:rFonts w:ascii="Verdana" w:hAnsi="Verdana"/>
          <w:sz w:val="21"/>
          <w:szCs w:val="21"/>
        </w:rPr>
        <w:t xml:space="preserve"> </w:t>
      </w:r>
      <w:r w:rsidRPr="00AD2988">
        <w:rPr>
          <w:rFonts w:ascii="Verdana" w:hAnsi="Verdana"/>
          <w:sz w:val="21"/>
          <w:szCs w:val="21"/>
        </w:rPr>
        <w:t>O,</w:t>
      </w:r>
      <w:r w:rsidR="00060CE3" w:rsidRPr="00AD2988">
        <w:rPr>
          <w:rFonts w:ascii="Verdana" w:hAnsi="Verdana"/>
          <w:sz w:val="21"/>
          <w:szCs w:val="21"/>
        </w:rPr>
        <w:t xml:space="preserve"> </w:t>
      </w:r>
      <w:r w:rsidRPr="00AD2988">
        <w:rPr>
          <w:rFonts w:ascii="Verdana" w:hAnsi="Verdana"/>
          <w:sz w:val="21"/>
          <w:szCs w:val="21"/>
        </w:rPr>
        <w:t>P,</w:t>
      </w:r>
      <w:r w:rsidR="00060CE3" w:rsidRPr="00AD2988">
        <w:rPr>
          <w:rFonts w:ascii="Verdana" w:hAnsi="Verdana"/>
          <w:sz w:val="21"/>
          <w:szCs w:val="21"/>
        </w:rPr>
        <w:t xml:space="preserve"> </w:t>
      </w:r>
      <w:r w:rsidRPr="00AD2988">
        <w:rPr>
          <w:rFonts w:ascii="Verdana" w:hAnsi="Verdana"/>
          <w:sz w:val="21"/>
          <w:szCs w:val="21"/>
        </w:rPr>
        <w:t>Q) il percorso che si ritiene di attivare per garantire un monitoraggio attivo da parte dell’Ufficio Anticorruzione</w:t>
      </w:r>
      <w:r w:rsidR="00E84CAE" w:rsidRPr="00AD2988">
        <w:rPr>
          <w:rFonts w:ascii="Verdana" w:hAnsi="Verdana"/>
          <w:sz w:val="21"/>
          <w:szCs w:val="21"/>
        </w:rPr>
        <w:t>, definendo specifici indicatori di monitoraggio, target attesi e tempi di attuazione</w:t>
      </w:r>
      <w:r w:rsidRPr="00AD2988">
        <w:rPr>
          <w:rFonts w:ascii="Verdana" w:hAnsi="Verdana"/>
          <w:sz w:val="21"/>
          <w:szCs w:val="21"/>
        </w:rPr>
        <w:t>.</w:t>
      </w:r>
    </w:p>
    <w:p w14:paraId="17505725" w14:textId="77777777" w:rsidR="003C0523" w:rsidRPr="006F2D2A" w:rsidRDefault="003C0523" w:rsidP="006026DF">
      <w:pPr>
        <w:pStyle w:val="Nessunaspaziatura"/>
      </w:pPr>
    </w:p>
    <w:p w14:paraId="002BF618" w14:textId="7FD41F9F" w:rsidR="00DC28D5" w:rsidRDefault="00DC28D5" w:rsidP="001540E6">
      <w:pPr>
        <w:pStyle w:val="Titolo1"/>
        <w:numPr>
          <w:ilvl w:val="0"/>
          <w:numId w:val="0"/>
        </w:numPr>
        <w:spacing w:after="72"/>
        <w:rPr>
          <w:lang w:val="it-IT"/>
        </w:rPr>
      </w:pPr>
      <w:bookmarkStart w:id="32" w:name="_Toc225863549"/>
      <w:r w:rsidRPr="0009315F">
        <w:t>M. SEZIONE TRASPARENZA</w:t>
      </w:r>
      <w:bookmarkEnd w:id="32"/>
    </w:p>
    <w:p w14:paraId="318CAD6B" w14:textId="77777777" w:rsidR="003C0523" w:rsidRPr="000022FB" w:rsidRDefault="00A3149F" w:rsidP="003C0523">
      <w:pPr>
        <w:spacing w:after="72" w:line="240" w:lineRule="auto"/>
        <w:jc w:val="both"/>
        <w:rPr>
          <w:rFonts w:ascii="Verdana" w:hAnsi="Verdana"/>
          <w:sz w:val="21"/>
          <w:szCs w:val="21"/>
          <w:lang w:eastAsia="it-IT"/>
        </w:rPr>
      </w:pPr>
      <w:r w:rsidRPr="000022FB">
        <w:rPr>
          <w:rFonts w:ascii="Verdana" w:hAnsi="Verdana"/>
          <w:sz w:val="21"/>
          <w:szCs w:val="21"/>
          <w:lang w:eastAsia="it-IT"/>
        </w:rPr>
        <w:t>Nel contesto del servizio sanitario la trasparenza costituisce strumento essenziale per una maggiore consapevolezza e responsabilità individuale e sociale del cittadino al momento della scelta delle modalità e delle condizioni di accesso al servizio e strumento di attuazione concreta dei principi di eguaglianza e di universalità su cui si fonda il servizio sanitario pubblico. Per questo motivo, la legislazione amplia l’area della pubblicità obbligatoria a specifici e rilevanti aspetti concernenti l’organizzazione, le attività strumentali e le prestazioni fornite dalle strutture del SSN, tenuto conto della peculiare natura del servizio sanitario e della sua “sensibilità”, sia nella prospettiva della prevenzione della corruzione sia in quella della tutela dei diritti dei cittadini.</w:t>
      </w:r>
    </w:p>
    <w:p w14:paraId="7CE5AC46" w14:textId="77777777" w:rsidR="003C0523" w:rsidRPr="000022FB" w:rsidRDefault="003C0523" w:rsidP="003C0523">
      <w:pPr>
        <w:spacing w:after="72" w:line="240" w:lineRule="auto"/>
        <w:jc w:val="both"/>
        <w:rPr>
          <w:rFonts w:ascii="Verdana" w:hAnsi="Verdana"/>
          <w:sz w:val="21"/>
          <w:szCs w:val="21"/>
          <w:lang w:eastAsia="it-IT"/>
        </w:rPr>
      </w:pPr>
    </w:p>
    <w:p w14:paraId="120EEFD2" w14:textId="6A65559A" w:rsidR="00DC28D5" w:rsidRPr="000022FB" w:rsidRDefault="00DC28D5" w:rsidP="003C0523">
      <w:pPr>
        <w:spacing w:after="72" w:line="240" w:lineRule="auto"/>
        <w:jc w:val="both"/>
        <w:rPr>
          <w:rFonts w:ascii="Verdana" w:hAnsi="Verdana"/>
          <w:sz w:val="21"/>
          <w:szCs w:val="21"/>
        </w:rPr>
      </w:pPr>
      <w:r w:rsidRPr="000022FB">
        <w:rPr>
          <w:rFonts w:ascii="Verdana" w:hAnsi="Verdana"/>
          <w:sz w:val="21"/>
          <w:szCs w:val="21"/>
          <w:lang w:eastAsia="it-IT"/>
        </w:rPr>
        <w:t xml:space="preserve">Montecatone R.I. S.p.A., sin dall’entrata in vigore del D. Lgs. 33/2013, ha ritenuto strategico adottare un’interpretazione estesa della normativa sulla trasparenza, riconoscendo fin da subito ulteriori obblighi informativi rispetto a quelli formalmente riconducibili ad un soggetto di diritto privato, escludendo quindi solamente quegli obblighi non applicabili. Nella sua attività di aggiornamento dei dati da pubblicare ha sempre cercato di mantenere un approccio coerente con gli aggiornamenti normativi, con le indicazioni della Regione Emilia-Romagna (OIV-SSR), con le Determinazioni ANAC e con l’idea che la trasparenza rappresenti veramente uno strumento di partecipazione collettiva agli obiettivi dell’azienda ed ai suoi processi di realizzazione, oltre che un’efficace misura di prevenzione della corruzione. </w:t>
      </w:r>
    </w:p>
    <w:p w14:paraId="6212FE77" w14:textId="77777777" w:rsidR="00E82340" w:rsidRPr="009433CD" w:rsidRDefault="00DC28D5" w:rsidP="00E82340">
      <w:pPr>
        <w:pStyle w:val="Default"/>
        <w:spacing w:after="72"/>
        <w:jc w:val="both"/>
        <w:rPr>
          <w:rFonts w:ascii="Verdana" w:hAnsi="Verdana" w:cs="Times New Roman"/>
          <w:color w:val="auto"/>
          <w:sz w:val="21"/>
          <w:szCs w:val="21"/>
          <w:lang w:eastAsia="it-IT"/>
        </w:rPr>
      </w:pPr>
      <w:r w:rsidRPr="009433CD">
        <w:rPr>
          <w:rFonts w:ascii="Verdana" w:hAnsi="Verdana" w:cs="Times New Roman"/>
          <w:sz w:val="21"/>
          <w:szCs w:val="21"/>
          <w:lang w:eastAsia="it-IT"/>
        </w:rPr>
        <w:t xml:space="preserve">MRI </w:t>
      </w:r>
      <w:r w:rsidR="008714F1" w:rsidRPr="009433CD">
        <w:rPr>
          <w:rFonts w:ascii="Verdana" w:hAnsi="Verdana" w:cs="Times New Roman"/>
          <w:sz w:val="21"/>
          <w:szCs w:val="21"/>
          <w:lang w:eastAsia="it-IT"/>
        </w:rPr>
        <w:t>ha aggiornato e alimentato</w:t>
      </w:r>
      <w:r w:rsidRPr="009433CD">
        <w:rPr>
          <w:rFonts w:ascii="Verdana" w:hAnsi="Verdana" w:cs="Times New Roman"/>
          <w:sz w:val="21"/>
          <w:szCs w:val="21"/>
          <w:lang w:eastAsia="it-IT"/>
        </w:rPr>
        <w:t xml:space="preserve"> i dati pubblicati sul sito istituzionale </w:t>
      </w:r>
      <w:r w:rsidR="002D6112" w:rsidRPr="009433CD">
        <w:rPr>
          <w:rFonts w:ascii="Verdana" w:hAnsi="Verdana" w:cs="Times New Roman"/>
          <w:sz w:val="21"/>
          <w:szCs w:val="21"/>
          <w:lang w:eastAsia="it-IT"/>
        </w:rPr>
        <w:t>ne</w:t>
      </w:r>
      <w:r w:rsidRPr="009433CD">
        <w:rPr>
          <w:rFonts w:ascii="Verdana" w:hAnsi="Verdana" w:cs="Times New Roman"/>
          <w:sz w:val="21"/>
          <w:szCs w:val="21"/>
          <w:lang w:eastAsia="it-IT"/>
        </w:rPr>
        <w:t>lla sezione dedicata “Società Trasparente”, indicando puntualmente le modalità e i tempi di pubblicazione delle informazioni oltre che i responsabili dell’elaborazione e aggiornamento, della trasmissione e pubblicazione delle informazioni, al fine di garantire, all’interno dei singoli Servizi, un pieno coinvolgimento ed una puntuale responsabilizzazione oltreché una più chiara definizione delle competenze</w:t>
      </w:r>
      <w:r w:rsidR="00E82340" w:rsidRPr="009433CD">
        <w:rPr>
          <w:rFonts w:ascii="Verdana" w:hAnsi="Verdana" w:cs="Times New Roman"/>
          <w:sz w:val="21"/>
          <w:szCs w:val="21"/>
          <w:lang w:eastAsia="it-IT"/>
        </w:rPr>
        <w:t>,</w:t>
      </w:r>
      <w:r w:rsidR="00E82340" w:rsidRPr="009433CD">
        <w:rPr>
          <w:rFonts w:ascii="Verdana" w:hAnsi="Verdana" w:cs="Times New Roman"/>
          <w:color w:val="auto"/>
          <w:sz w:val="21"/>
          <w:szCs w:val="21"/>
          <w:lang w:eastAsia="it-IT"/>
        </w:rPr>
        <w:t xml:space="preserve"> al fine di realizzare, quanto più possibile, un elevato standard di trasparenza. </w:t>
      </w:r>
    </w:p>
    <w:p w14:paraId="0DB8F765" w14:textId="77777777" w:rsidR="00DC28D5" w:rsidRPr="00DE493F" w:rsidRDefault="00DC28D5">
      <w:pPr>
        <w:pStyle w:val="Default"/>
        <w:jc w:val="both"/>
        <w:rPr>
          <w:rFonts w:ascii="Verdana" w:hAnsi="Verdana" w:cs="Times New Roman"/>
          <w:sz w:val="21"/>
          <w:szCs w:val="21"/>
          <w:highlight w:val="lightGray"/>
          <w:lang w:eastAsia="it-IT"/>
        </w:rPr>
      </w:pPr>
    </w:p>
    <w:p w14:paraId="2D976B74" w14:textId="77777777" w:rsidR="00861896" w:rsidRDefault="00DC28D5">
      <w:pPr>
        <w:pStyle w:val="Default"/>
        <w:jc w:val="both"/>
        <w:rPr>
          <w:rFonts w:ascii="Verdana" w:hAnsi="Verdana"/>
          <w:sz w:val="21"/>
          <w:szCs w:val="21"/>
        </w:rPr>
      </w:pPr>
      <w:r w:rsidRPr="002D31B7">
        <w:rPr>
          <w:rFonts w:ascii="Verdana" w:hAnsi="Verdana" w:cs="Times New Roman"/>
          <w:sz w:val="21"/>
          <w:szCs w:val="21"/>
          <w:lang w:eastAsia="it-IT"/>
        </w:rPr>
        <w:t xml:space="preserve">Montecatone R.I. S.p.A. si è quindi conformata </w:t>
      </w:r>
      <w:r w:rsidR="00A73F26" w:rsidRPr="002D31B7">
        <w:rPr>
          <w:rFonts w:ascii="Verdana" w:hAnsi="Verdana" w:cs="Times New Roman"/>
          <w:sz w:val="21"/>
          <w:szCs w:val="21"/>
          <w:lang w:eastAsia="it-IT"/>
        </w:rPr>
        <w:t>alle</w:t>
      </w:r>
      <w:r w:rsidRPr="002D31B7">
        <w:rPr>
          <w:rFonts w:ascii="Verdana" w:hAnsi="Verdana" w:cs="Times New Roman"/>
          <w:sz w:val="21"/>
          <w:szCs w:val="21"/>
          <w:lang w:eastAsia="it-IT"/>
        </w:rPr>
        <w:t xml:space="preserve"> linee guida</w:t>
      </w:r>
      <w:r w:rsidR="00A73F26" w:rsidRPr="002D31B7">
        <w:rPr>
          <w:rFonts w:ascii="Verdana" w:hAnsi="Verdana" w:cs="Times New Roman"/>
          <w:sz w:val="21"/>
          <w:szCs w:val="21"/>
          <w:lang w:eastAsia="it-IT"/>
        </w:rPr>
        <w:t xml:space="preserve"> ANAC </w:t>
      </w:r>
      <w:r w:rsidRPr="002D31B7">
        <w:rPr>
          <w:rFonts w:ascii="Verdana" w:hAnsi="Verdana" w:cs="Times New Roman"/>
          <w:sz w:val="21"/>
          <w:szCs w:val="21"/>
          <w:lang w:eastAsia="it-IT"/>
        </w:rPr>
        <w:t>n. 1134 dell’8 novembre 2017 (aggiornamento delle linee guida 8/2015) che hanno chiarito l’ambito soggettivo degli obblighi di trasparenza estendendo alle società in controllo pubblico come Montecatone R.I. S.p.A. (art. 3 bis, comma 2, lettera b – D.</w:t>
      </w:r>
      <w:r w:rsidR="000523CA" w:rsidRPr="002D31B7">
        <w:rPr>
          <w:rFonts w:ascii="Verdana" w:hAnsi="Verdana" w:cs="Times New Roman"/>
          <w:sz w:val="21"/>
          <w:szCs w:val="21"/>
          <w:lang w:eastAsia="it-IT"/>
        </w:rPr>
        <w:t xml:space="preserve"> </w:t>
      </w:r>
      <w:r w:rsidRPr="002D31B7">
        <w:rPr>
          <w:rFonts w:ascii="Verdana" w:hAnsi="Verdana" w:cs="Times New Roman"/>
          <w:sz w:val="21"/>
          <w:szCs w:val="21"/>
          <w:lang w:eastAsia="it-IT"/>
        </w:rPr>
        <w:t xml:space="preserve">Lgs. 33/2013) tutti gli obblighi di pubblicazione previsti per le ‘pubbliche amministrazioni’, formalizzando una adesione a tale misura già in essere da tempo presso la </w:t>
      </w:r>
      <w:r w:rsidR="001A720F" w:rsidRPr="002D31B7">
        <w:rPr>
          <w:rFonts w:ascii="Verdana" w:hAnsi="Verdana" w:cs="Times New Roman"/>
          <w:sz w:val="21"/>
          <w:szCs w:val="21"/>
          <w:lang w:eastAsia="it-IT"/>
        </w:rPr>
        <w:t>S</w:t>
      </w:r>
      <w:r w:rsidRPr="002D31B7">
        <w:rPr>
          <w:rFonts w:ascii="Verdana" w:hAnsi="Verdana" w:cs="Times New Roman"/>
          <w:sz w:val="21"/>
          <w:szCs w:val="21"/>
          <w:lang w:eastAsia="it-IT"/>
        </w:rPr>
        <w:t xml:space="preserve">ocietà. Si aggiunga, inoltre, per le società in controllo pubblico come </w:t>
      </w:r>
      <w:r w:rsidR="00B06D31" w:rsidRPr="002D31B7">
        <w:rPr>
          <w:rFonts w:ascii="Verdana" w:hAnsi="Verdana" w:cs="Times New Roman"/>
          <w:sz w:val="21"/>
          <w:szCs w:val="21"/>
          <w:lang w:eastAsia="it-IT"/>
        </w:rPr>
        <w:t>MRI</w:t>
      </w:r>
      <w:r w:rsidRPr="002D31B7">
        <w:rPr>
          <w:rFonts w:ascii="Verdana" w:hAnsi="Verdana" w:cs="Times New Roman"/>
          <w:sz w:val="21"/>
          <w:szCs w:val="21"/>
          <w:lang w:eastAsia="it-IT"/>
        </w:rPr>
        <w:t xml:space="preserve">, l’obbligo di pubblicazione delle attestazioni previsto dalla Delibera 141/2018 - punto 1.2. lett. b) - che ha reso, pertanto, </w:t>
      </w:r>
      <w:r w:rsidR="00B06D31" w:rsidRPr="002D31B7">
        <w:rPr>
          <w:rFonts w:ascii="Verdana" w:hAnsi="Verdana" w:cs="Times New Roman"/>
          <w:sz w:val="21"/>
          <w:szCs w:val="21"/>
          <w:lang w:eastAsia="it-IT"/>
        </w:rPr>
        <w:t>dovuto</w:t>
      </w:r>
      <w:r w:rsidRPr="002D31B7">
        <w:rPr>
          <w:rFonts w:ascii="Verdana" w:hAnsi="Verdana" w:cs="Times New Roman"/>
          <w:sz w:val="21"/>
          <w:szCs w:val="21"/>
          <w:lang w:eastAsia="it-IT"/>
        </w:rPr>
        <w:t xml:space="preserve"> ciò che Montecatone R.I. S.p.A. aveva in larga parte già pubblicato in analogia con le altre strutture pubbliche. </w:t>
      </w:r>
    </w:p>
    <w:p w14:paraId="5653CB3D" w14:textId="44D4AA55" w:rsidR="00DC28D5" w:rsidRPr="002D31B7" w:rsidRDefault="00DC28D5">
      <w:pPr>
        <w:pStyle w:val="Default"/>
        <w:jc w:val="both"/>
        <w:rPr>
          <w:rFonts w:ascii="Verdana" w:hAnsi="Verdana"/>
          <w:sz w:val="21"/>
          <w:szCs w:val="21"/>
        </w:rPr>
      </w:pPr>
      <w:r w:rsidRPr="002D31B7">
        <w:rPr>
          <w:rFonts w:ascii="Verdana" w:hAnsi="Verdana" w:cs="Times New Roman"/>
          <w:sz w:val="21"/>
          <w:szCs w:val="21"/>
          <w:lang w:eastAsia="it-IT"/>
        </w:rPr>
        <w:t>MRI, che opera istituzionalmente nell’ambito del Servizio Sanitario Regionale, ha riconosciuto per la propria dirigenza logica applicazione dell’art. 41 del D. Lgs. 33/2013, che disciplina la trasparenza nel Servizio Sanitario Nazionale.</w:t>
      </w:r>
    </w:p>
    <w:p w14:paraId="67A8B4D4" w14:textId="7368494F" w:rsidR="00DC28D5" w:rsidRPr="002D31B7" w:rsidRDefault="00DC28D5">
      <w:pPr>
        <w:pStyle w:val="Default"/>
        <w:jc w:val="both"/>
        <w:rPr>
          <w:rFonts w:ascii="Verdana" w:hAnsi="Verdana"/>
          <w:sz w:val="21"/>
          <w:szCs w:val="21"/>
        </w:rPr>
      </w:pPr>
      <w:r w:rsidRPr="002D31B7">
        <w:rPr>
          <w:rFonts w:ascii="Verdana" w:hAnsi="Verdana" w:cs="Times New Roman"/>
          <w:sz w:val="21"/>
          <w:szCs w:val="21"/>
          <w:lang w:eastAsia="it-IT"/>
        </w:rPr>
        <w:t xml:space="preserve">L’evoluzione normativa e giurisprudenziale in tema di riservatezza sui dati personali (GDPR Regolamento (UE) 2016/679) e obblighi di pubblicità, trasparenza e diffusione di informazioni da parte delle pubbliche amministrazioni, unitamente alle note interpretative regionali, ha suggerito a MRI, data la sua particolare natura giuridica, una attenta comparazione dei contrapposti diritti in gioco in tema di pubblicazione dei dati in questione, arrivando alla conclusione di non procedere alla pubblicazione dei dati previsti ai punti c e d del 1° comma dell’art.15, nelle more di aggiornamenti chiarificatori. </w:t>
      </w:r>
    </w:p>
    <w:p w14:paraId="4E2E28C5" w14:textId="77777777" w:rsidR="00DC28D5" w:rsidRPr="00DE493F" w:rsidRDefault="00DC28D5">
      <w:pPr>
        <w:shd w:val="clear" w:color="auto" w:fill="FFFFFF"/>
        <w:spacing w:after="150" w:line="240" w:lineRule="auto"/>
        <w:contextualSpacing/>
        <w:jc w:val="both"/>
        <w:rPr>
          <w:rFonts w:ascii="Verdana" w:hAnsi="Verdana"/>
          <w:color w:val="000000"/>
          <w:sz w:val="21"/>
          <w:szCs w:val="21"/>
          <w:highlight w:val="lightGray"/>
          <w:lang w:eastAsia="it-IT"/>
        </w:rPr>
      </w:pPr>
    </w:p>
    <w:p w14:paraId="5BDEDBCA" w14:textId="436FFBF0" w:rsidR="00DC28D5" w:rsidRPr="00A01640" w:rsidRDefault="00DC28D5">
      <w:pPr>
        <w:shd w:val="clear" w:color="auto" w:fill="FFFFFF"/>
        <w:spacing w:after="150" w:line="240" w:lineRule="auto"/>
        <w:contextualSpacing/>
        <w:jc w:val="both"/>
        <w:rPr>
          <w:rFonts w:ascii="Verdana" w:hAnsi="Verdana"/>
          <w:sz w:val="21"/>
          <w:szCs w:val="21"/>
        </w:rPr>
      </w:pPr>
      <w:r w:rsidRPr="00A01640">
        <w:rPr>
          <w:rFonts w:ascii="Verdana" w:hAnsi="Verdana"/>
          <w:sz w:val="21"/>
          <w:szCs w:val="21"/>
          <w:lang w:eastAsia="it-IT"/>
        </w:rPr>
        <w:t>Nel corso del 202</w:t>
      </w:r>
      <w:r w:rsidR="00312596" w:rsidRPr="00A01640">
        <w:rPr>
          <w:rFonts w:ascii="Verdana" w:hAnsi="Verdana"/>
          <w:sz w:val="21"/>
          <w:szCs w:val="21"/>
          <w:lang w:eastAsia="it-IT"/>
        </w:rPr>
        <w:t>5</w:t>
      </w:r>
      <w:r w:rsidRPr="00A01640">
        <w:rPr>
          <w:rFonts w:ascii="Verdana" w:hAnsi="Verdana"/>
          <w:sz w:val="21"/>
          <w:szCs w:val="21"/>
          <w:lang w:eastAsia="it-IT"/>
        </w:rPr>
        <w:t xml:space="preserve"> Montecatone R.I. S.p.A. ha provveduto </w:t>
      </w:r>
      <w:r w:rsidR="00242901" w:rsidRPr="00A01640">
        <w:rPr>
          <w:rFonts w:ascii="Verdana" w:hAnsi="Verdana"/>
          <w:sz w:val="21"/>
          <w:szCs w:val="21"/>
          <w:lang w:eastAsia="it-IT"/>
        </w:rPr>
        <w:t xml:space="preserve">ad alimentare e monitorare le pubblicazioni </w:t>
      </w:r>
      <w:r w:rsidRPr="00A01640">
        <w:rPr>
          <w:rFonts w:ascii="Verdana" w:hAnsi="Verdana"/>
          <w:sz w:val="21"/>
          <w:szCs w:val="21"/>
          <w:lang w:eastAsia="it-IT"/>
        </w:rPr>
        <w:t xml:space="preserve">secondo gli impegni assunti con lo schema Allegato 1 al Piano. </w:t>
      </w:r>
    </w:p>
    <w:p w14:paraId="0FA2C680" w14:textId="5B1A4A3F" w:rsidR="00EC78BB" w:rsidRPr="00A01640" w:rsidRDefault="00DC28D5" w:rsidP="00E90C03">
      <w:pPr>
        <w:shd w:val="clear" w:color="auto" w:fill="FFFFFF"/>
        <w:spacing w:after="150" w:line="240" w:lineRule="auto"/>
        <w:contextualSpacing/>
        <w:jc w:val="both"/>
        <w:rPr>
          <w:rFonts w:ascii="Verdana" w:hAnsi="Verdana"/>
          <w:sz w:val="21"/>
          <w:szCs w:val="21"/>
          <w:lang w:eastAsia="it-IT"/>
        </w:rPr>
      </w:pPr>
      <w:r w:rsidRPr="00A01640">
        <w:rPr>
          <w:rFonts w:ascii="Verdana" w:hAnsi="Verdana"/>
          <w:sz w:val="21"/>
          <w:szCs w:val="21"/>
          <w:lang w:eastAsia="it-IT"/>
        </w:rPr>
        <w:t xml:space="preserve">In capo all’Organismo Aziendale di Valutazione è stata riconfermata la funzione di verificare l’assolvimento degli obblighi di trasparenza previsti dal D. Lgs. 33/2013 con l’intento di promuoverne l’applicazione in collaborazione con il RPCT. </w:t>
      </w:r>
      <w:r w:rsidR="00E90C03" w:rsidRPr="00A01640">
        <w:rPr>
          <w:rFonts w:ascii="Verdana" w:hAnsi="Verdana"/>
          <w:sz w:val="21"/>
          <w:szCs w:val="21"/>
          <w:lang w:eastAsia="it-IT"/>
        </w:rPr>
        <w:t xml:space="preserve">A tale proposito, </w:t>
      </w:r>
      <w:r w:rsidR="0022484D" w:rsidRPr="00A01640">
        <w:rPr>
          <w:rFonts w:ascii="Verdana" w:hAnsi="Verdana"/>
          <w:sz w:val="21"/>
          <w:szCs w:val="21"/>
          <w:lang w:eastAsia="it-IT"/>
        </w:rPr>
        <w:t xml:space="preserve">la verifica è stata condotta autonomamente, come istruttoria, dai singoli componenti dell’OAV a partire dal </w:t>
      </w:r>
      <w:r w:rsidR="00EC78BB" w:rsidRPr="00A01640">
        <w:rPr>
          <w:rFonts w:ascii="Verdana" w:hAnsi="Verdana"/>
          <w:sz w:val="21"/>
          <w:szCs w:val="21"/>
          <w:lang w:eastAsia="it-IT"/>
        </w:rPr>
        <w:t>31</w:t>
      </w:r>
      <w:r w:rsidR="00550099" w:rsidRPr="00A01640">
        <w:rPr>
          <w:rFonts w:ascii="Verdana" w:hAnsi="Verdana"/>
          <w:sz w:val="21"/>
          <w:szCs w:val="21"/>
          <w:lang w:eastAsia="it-IT"/>
        </w:rPr>
        <w:t>.</w:t>
      </w:r>
      <w:r w:rsidR="00EC78BB" w:rsidRPr="00A01640">
        <w:rPr>
          <w:rFonts w:ascii="Verdana" w:hAnsi="Verdana"/>
          <w:sz w:val="21"/>
          <w:szCs w:val="21"/>
          <w:lang w:eastAsia="it-IT"/>
        </w:rPr>
        <w:t>05</w:t>
      </w:r>
      <w:r w:rsidR="00550099" w:rsidRPr="00A01640">
        <w:rPr>
          <w:rFonts w:ascii="Verdana" w:hAnsi="Verdana"/>
          <w:sz w:val="21"/>
          <w:szCs w:val="21"/>
          <w:lang w:eastAsia="it-IT"/>
        </w:rPr>
        <w:t>.</w:t>
      </w:r>
      <w:r w:rsidR="00EC78BB" w:rsidRPr="00A01640">
        <w:rPr>
          <w:rFonts w:ascii="Verdana" w:hAnsi="Verdana"/>
          <w:sz w:val="21"/>
          <w:szCs w:val="21"/>
          <w:lang w:eastAsia="it-IT"/>
        </w:rPr>
        <w:t>202</w:t>
      </w:r>
      <w:r w:rsidR="00DE47F2" w:rsidRPr="00A01640">
        <w:rPr>
          <w:rFonts w:ascii="Verdana" w:hAnsi="Verdana"/>
          <w:sz w:val="21"/>
          <w:szCs w:val="21"/>
          <w:lang w:eastAsia="it-IT"/>
        </w:rPr>
        <w:t>5</w:t>
      </w:r>
      <w:r w:rsidR="0022484D" w:rsidRPr="00A01640">
        <w:rPr>
          <w:rFonts w:ascii="Verdana" w:hAnsi="Verdana"/>
          <w:sz w:val="21"/>
          <w:szCs w:val="21"/>
          <w:lang w:eastAsia="it-IT"/>
        </w:rPr>
        <w:t xml:space="preserve"> e successivamente attuata in modo collegiale in occasione della riunione del</w:t>
      </w:r>
      <w:r w:rsidR="00550099" w:rsidRPr="00A01640">
        <w:rPr>
          <w:rFonts w:ascii="Verdana" w:hAnsi="Verdana"/>
          <w:sz w:val="21"/>
          <w:szCs w:val="21"/>
          <w:lang w:eastAsia="it-IT"/>
        </w:rPr>
        <w:t xml:space="preserve"> 1</w:t>
      </w:r>
      <w:r w:rsidR="00DE47F2" w:rsidRPr="00A01640">
        <w:rPr>
          <w:rFonts w:ascii="Verdana" w:hAnsi="Verdana"/>
          <w:sz w:val="21"/>
          <w:szCs w:val="21"/>
          <w:lang w:eastAsia="it-IT"/>
        </w:rPr>
        <w:t>9</w:t>
      </w:r>
      <w:r w:rsidR="00550099" w:rsidRPr="00A01640">
        <w:rPr>
          <w:rFonts w:ascii="Verdana" w:hAnsi="Verdana"/>
          <w:sz w:val="21"/>
          <w:szCs w:val="21"/>
          <w:lang w:eastAsia="it-IT"/>
        </w:rPr>
        <w:t>.</w:t>
      </w:r>
      <w:r w:rsidR="0022484D" w:rsidRPr="00A01640">
        <w:rPr>
          <w:rFonts w:ascii="Verdana" w:hAnsi="Verdana"/>
          <w:sz w:val="21"/>
          <w:szCs w:val="21"/>
          <w:lang w:eastAsia="it-IT"/>
        </w:rPr>
        <w:t>0</w:t>
      </w:r>
      <w:r w:rsidR="00DE47F2" w:rsidRPr="00A01640">
        <w:rPr>
          <w:rFonts w:ascii="Verdana" w:hAnsi="Verdana"/>
          <w:sz w:val="21"/>
          <w:szCs w:val="21"/>
          <w:lang w:eastAsia="it-IT"/>
        </w:rPr>
        <w:t>6</w:t>
      </w:r>
      <w:r w:rsidR="00550099" w:rsidRPr="00A01640">
        <w:rPr>
          <w:rFonts w:ascii="Verdana" w:hAnsi="Verdana"/>
          <w:sz w:val="21"/>
          <w:szCs w:val="21"/>
          <w:lang w:eastAsia="it-IT"/>
        </w:rPr>
        <w:t>.</w:t>
      </w:r>
      <w:r w:rsidR="0022484D" w:rsidRPr="00A01640">
        <w:rPr>
          <w:rFonts w:ascii="Verdana" w:hAnsi="Verdana"/>
          <w:sz w:val="21"/>
          <w:szCs w:val="21"/>
          <w:lang w:eastAsia="it-IT"/>
        </w:rPr>
        <w:t>202</w:t>
      </w:r>
      <w:r w:rsidR="00DE47F2" w:rsidRPr="00A01640">
        <w:rPr>
          <w:rFonts w:ascii="Verdana" w:hAnsi="Verdana"/>
          <w:sz w:val="21"/>
          <w:szCs w:val="21"/>
          <w:lang w:eastAsia="it-IT"/>
        </w:rPr>
        <w:t>5</w:t>
      </w:r>
      <w:r w:rsidR="0022484D" w:rsidRPr="00A01640">
        <w:rPr>
          <w:rFonts w:ascii="Verdana" w:hAnsi="Verdana"/>
          <w:sz w:val="21"/>
          <w:szCs w:val="21"/>
          <w:lang w:eastAsia="it-IT"/>
        </w:rPr>
        <w:t xml:space="preserve"> svoltasi presso la sede della Società attraverso la verifica </w:t>
      </w:r>
      <w:r w:rsidR="00E53ABE" w:rsidRPr="00A01640">
        <w:rPr>
          <w:rFonts w:ascii="Verdana" w:hAnsi="Verdana"/>
          <w:sz w:val="21"/>
          <w:szCs w:val="21"/>
          <w:lang w:eastAsia="it-IT"/>
        </w:rPr>
        <w:t xml:space="preserve">delle pubblicazioni presenti sul </w:t>
      </w:r>
      <w:r w:rsidR="0022484D" w:rsidRPr="00A01640">
        <w:rPr>
          <w:rFonts w:ascii="Verdana" w:hAnsi="Verdana"/>
          <w:sz w:val="21"/>
          <w:szCs w:val="21"/>
          <w:lang w:eastAsia="it-IT"/>
        </w:rPr>
        <w:t>sito istituzionale della Società.</w:t>
      </w:r>
      <w:r w:rsidR="00C86ADC" w:rsidRPr="00A01640">
        <w:rPr>
          <w:rFonts w:ascii="Verdana" w:hAnsi="Verdana"/>
          <w:sz w:val="21"/>
          <w:szCs w:val="21"/>
          <w:lang w:eastAsia="it-IT"/>
        </w:rPr>
        <w:t xml:space="preserve"> </w:t>
      </w:r>
      <w:r w:rsidR="00045BDE" w:rsidRPr="00A01640">
        <w:rPr>
          <w:rFonts w:ascii="Verdana" w:hAnsi="Verdana"/>
          <w:sz w:val="21"/>
          <w:szCs w:val="21"/>
          <w:lang w:eastAsia="it-IT"/>
        </w:rPr>
        <w:t xml:space="preserve">In conformità alla Delibera ANAC </w:t>
      </w:r>
      <w:r w:rsidR="00DE47F2" w:rsidRPr="00A01640">
        <w:rPr>
          <w:rFonts w:ascii="Verdana" w:hAnsi="Verdana"/>
          <w:sz w:val="21"/>
          <w:szCs w:val="21"/>
          <w:lang w:eastAsia="it-IT"/>
        </w:rPr>
        <w:t>192</w:t>
      </w:r>
      <w:r w:rsidR="00045BDE" w:rsidRPr="00A01640">
        <w:rPr>
          <w:rFonts w:ascii="Verdana" w:hAnsi="Verdana"/>
          <w:sz w:val="21"/>
          <w:szCs w:val="21"/>
          <w:lang w:eastAsia="it-IT"/>
        </w:rPr>
        <w:t>/202</w:t>
      </w:r>
      <w:r w:rsidR="00DE47F2" w:rsidRPr="00A01640">
        <w:rPr>
          <w:rFonts w:ascii="Verdana" w:hAnsi="Verdana"/>
          <w:sz w:val="21"/>
          <w:szCs w:val="21"/>
          <w:lang w:eastAsia="it-IT"/>
        </w:rPr>
        <w:t>5</w:t>
      </w:r>
      <w:r w:rsidR="00045BDE" w:rsidRPr="00A01640">
        <w:rPr>
          <w:rFonts w:ascii="Verdana" w:hAnsi="Verdana"/>
          <w:sz w:val="21"/>
          <w:szCs w:val="21"/>
          <w:lang w:eastAsia="it-IT"/>
        </w:rPr>
        <w:t>, l</w:t>
      </w:r>
      <w:r w:rsidR="00C86ADC" w:rsidRPr="00A01640">
        <w:rPr>
          <w:rFonts w:ascii="Verdana" w:hAnsi="Verdana"/>
          <w:sz w:val="21"/>
          <w:szCs w:val="21"/>
          <w:lang w:eastAsia="it-IT"/>
        </w:rPr>
        <w:t>a relativa attestazione</w:t>
      </w:r>
      <w:r w:rsidR="00EC78BB" w:rsidRPr="00A01640">
        <w:rPr>
          <w:rFonts w:ascii="Verdana" w:hAnsi="Verdana"/>
          <w:sz w:val="21"/>
          <w:szCs w:val="21"/>
          <w:lang w:eastAsia="it-IT"/>
        </w:rPr>
        <w:t xml:space="preserve"> risulta acquista con ricevuta ANAC numero di registro </w:t>
      </w:r>
      <w:r w:rsidR="00550099" w:rsidRPr="00A01640">
        <w:rPr>
          <w:rFonts w:ascii="Verdana" w:hAnsi="Verdana"/>
          <w:sz w:val="21"/>
          <w:szCs w:val="21"/>
          <w:lang w:eastAsia="it-IT"/>
        </w:rPr>
        <w:t>83804</w:t>
      </w:r>
      <w:r w:rsidR="00EC78BB" w:rsidRPr="00A01640">
        <w:rPr>
          <w:rFonts w:ascii="Verdana" w:hAnsi="Verdana"/>
          <w:sz w:val="21"/>
          <w:szCs w:val="21"/>
          <w:lang w:eastAsia="it-IT"/>
        </w:rPr>
        <w:t xml:space="preserve"> del</w:t>
      </w:r>
      <w:r w:rsidR="00550099" w:rsidRPr="00A01640">
        <w:rPr>
          <w:rFonts w:ascii="Verdana" w:hAnsi="Verdana"/>
          <w:sz w:val="21"/>
          <w:szCs w:val="21"/>
          <w:lang w:eastAsia="it-IT"/>
        </w:rPr>
        <w:t xml:space="preserve"> </w:t>
      </w:r>
      <w:r w:rsidR="00EC78BB" w:rsidRPr="00A01640">
        <w:rPr>
          <w:rFonts w:ascii="Verdana" w:hAnsi="Verdana"/>
          <w:sz w:val="21"/>
          <w:szCs w:val="21"/>
          <w:lang w:eastAsia="it-IT"/>
        </w:rPr>
        <w:t>1</w:t>
      </w:r>
      <w:r w:rsidR="00550099" w:rsidRPr="00A01640">
        <w:rPr>
          <w:rFonts w:ascii="Verdana" w:hAnsi="Verdana"/>
          <w:sz w:val="21"/>
          <w:szCs w:val="21"/>
          <w:lang w:eastAsia="it-IT"/>
        </w:rPr>
        <w:t>9.06.</w:t>
      </w:r>
      <w:r w:rsidR="00EC78BB" w:rsidRPr="00A01640">
        <w:rPr>
          <w:rFonts w:ascii="Verdana" w:hAnsi="Verdana"/>
          <w:sz w:val="21"/>
          <w:szCs w:val="21"/>
          <w:lang w:eastAsia="it-IT"/>
        </w:rPr>
        <w:t>202</w:t>
      </w:r>
      <w:r w:rsidR="00550099" w:rsidRPr="00A01640">
        <w:rPr>
          <w:rFonts w:ascii="Verdana" w:hAnsi="Verdana"/>
          <w:sz w:val="21"/>
          <w:szCs w:val="21"/>
          <w:lang w:eastAsia="it-IT"/>
        </w:rPr>
        <w:t>5</w:t>
      </w:r>
      <w:r w:rsidR="00EC78BB" w:rsidRPr="00A01640">
        <w:rPr>
          <w:rFonts w:ascii="Verdana" w:hAnsi="Verdana"/>
          <w:sz w:val="21"/>
          <w:szCs w:val="21"/>
          <w:lang w:eastAsia="it-IT"/>
        </w:rPr>
        <w:t xml:space="preserve"> </w:t>
      </w:r>
      <w:r w:rsidR="00E53ABE" w:rsidRPr="00A01640">
        <w:rPr>
          <w:rFonts w:ascii="Verdana" w:hAnsi="Verdana"/>
          <w:sz w:val="21"/>
          <w:szCs w:val="21"/>
          <w:lang w:eastAsia="it-IT"/>
        </w:rPr>
        <w:t>e</w:t>
      </w:r>
      <w:r w:rsidR="00A01640" w:rsidRPr="00A01640">
        <w:rPr>
          <w:rFonts w:ascii="Verdana" w:hAnsi="Verdana"/>
          <w:sz w:val="21"/>
          <w:szCs w:val="21"/>
          <w:lang w:eastAsia="it-IT"/>
        </w:rPr>
        <w:t xml:space="preserve">ntrambe </w:t>
      </w:r>
      <w:r w:rsidR="00E53ABE" w:rsidRPr="00A01640">
        <w:rPr>
          <w:rFonts w:ascii="Verdana" w:hAnsi="Verdana"/>
          <w:sz w:val="21"/>
          <w:szCs w:val="21"/>
          <w:lang w:eastAsia="it-IT"/>
        </w:rPr>
        <w:t>pubblicat</w:t>
      </w:r>
      <w:r w:rsidR="00A01640" w:rsidRPr="00A01640">
        <w:rPr>
          <w:rFonts w:ascii="Verdana" w:hAnsi="Verdana"/>
          <w:sz w:val="21"/>
          <w:szCs w:val="21"/>
          <w:lang w:eastAsia="it-IT"/>
        </w:rPr>
        <w:t>e</w:t>
      </w:r>
      <w:r w:rsidR="00E53ABE" w:rsidRPr="00A01640">
        <w:rPr>
          <w:rFonts w:ascii="Verdana" w:hAnsi="Verdana"/>
          <w:sz w:val="21"/>
          <w:szCs w:val="21"/>
          <w:lang w:eastAsia="it-IT"/>
        </w:rPr>
        <w:t xml:space="preserve"> nella sezione dedicata di Società Trasparente.</w:t>
      </w:r>
    </w:p>
    <w:p w14:paraId="72A5E879" w14:textId="77777777" w:rsidR="0022484D" w:rsidRPr="00DE493F" w:rsidRDefault="0022484D" w:rsidP="00E90C03">
      <w:pPr>
        <w:shd w:val="clear" w:color="auto" w:fill="FFFFFF"/>
        <w:spacing w:after="150" w:line="240" w:lineRule="auto"/>
        <w:contextualSpacing/>
        <w:jc w:val="both"/>
        <w:rPr>
          <w:rFonts w:ascii="Verdana" w:hAnsi="Verdana"/>
          <w:sz w:val="21"/>
          <w:szCs w:val="21"/>
          <w:highlight w:val="lightGray"/>
          <w:lang w:eastAsia="it-IT"/>
        </w:rPr>
      </w:pPr>
    </w:p>
    <w:p w14:paraId="61D47133" w14:textId="49B50AA9" w:rsidR="00DC28D5" w:rsidRPr="00D40BDC" w:rsidRDefault="00DC28D5">
      <w:pPr>
        <w:autoSpaceDE w:val="0"/>
        <w:spacing w:after="30" w:line="240" w:lineRule="auto"/>
        <w:jc w:val="both"/>
        <w:rPr>
          <w:rFonts w:ascii="Verdana" w:hAnsi="Verdana"/>
          <w:sz w:val="21"/>
          <w:szCs w:val="21"/>
          <w:lang w:eastAsia="it-IT"/>
        </w:rPr>
      </w:pPr>
      <w:r w:rsidRPr="00D40BDC">
        <w:rPr>
          <w:rFonts w:ascii="Verdana" w:hAnsi="Verdana"/>
          <w:sz w:val="21"/>
          <w:szCs w:val="21"/>
          <w:lang w:eastAsia="it-IT"/>
        </w:rPr>
        <w:t>Per il 202</w:t>
      </w:r>
      <w:r w:rsidR="00276424" w:rsidRPr="00D40BDC">
        <w:rPr>
          <w:rFonts w:ascii="Verdana" w:hAnsi="Verdana"/>
          <w:sz w:val="21"/>
          <w:szCs w:val="21"/>
          <w:lang w:eastAsia="it-IT"/>
        </w:rPr>
        <w:t>6</w:t>
      </w:r>
      <w:r w:rsidRPr="00D40BDC">
        <w:rPr>
          <w:rFonts w:ascii="Verdana" w:hAnsi="Verdana"/>
          <w:sz w:val="21"/>
          <w:szCs w:val="21"/>
          <w:lang w:eastAsia="it-IT"/>
        </w:rPr>
        <w:t>,</w:t>
      </w:r>
      <w:r w:rsidR="002A362A" w:rsidRPr="00D40BDC">
        <w:rPr>
          <w:rFonts w:ascii="Verdana" w:hAnsi="Verdana"/>
          <w:sz w:val="21"/>
          <w:szCs w:val="21"/>
          <w:lang w:eastAsia="it-IT"/>
        </w:rPr>
        <w:t xml:space="preserve"> </w:t>
      </w:r>
      <w:r w:rsidRPr="00D40BDC">
        <w:rPr>
          <w:rFonts w:ascii="Verdana" w:hAnsi="Verdana"/>
          <w:sz w:val="21"/>
          <w:szCs w:val="21"/>
          <w:lang w:eastAsia="it-IT"/>
        </w:rPr>
        <w:t>fatte salve autoverifiche periodiche da parte dei Responsabili della pubblicazione o eventuali verifiche straordinarie disposte da ANAC</w:t>
      </w:r>
      <w:r w:rsidR="00F4705A" w:rsidRPr="00D40BDC">
        <w:rPr>
          <w:rFonts w:ascii="Verdana" w:hAnsi="Verdana"/>
          <w:sz w:val="21"/>
          <w:szCs w:val="21"/>
          <w:lang w:eastAsia="it-IT"/>
        </w:rPr>
        <w:t>,</w:t>
      </w:r>
      <w:r w:rsidR="00CC7113" w:rsidRPr="00D40BDC">
        <w:rPr>
          <w:rFonts w:ascii="Verdana" w:hAnsi="Verdana"/>
          <w:sz w:val="21"/>
          <w:szCs w:val="21"/>
          <w:lang w:eastAsia="it-IT"/>
        </w:rPr>
        <w:t xml:space="preserve"> </w:t>
      </w:r>
      <w:r w:rsidRPr="00D40BDC">
        <w:rPr>
          <w:rFonts w:ascii="Verdana" w:hAnsi="Verdana"/>
          <w:sz w:val="21"/>
          <w:szCs w:val="21"/>
          <w:lang w:eastAsia="it-IT"/>
        </w:rPr>
        <w:t>si prevede di programmare</w:t>
      </w:r>
      <w:r w:rsidR="002A362A" w:rsidRPr="00D40BDC">
        <w:rPr>
          <w:rFonts w:ascii="Verdana" w:hAnsi="Verdana"/>
          <w:sz w:val="21"/>
          <w:szCs w:val="21"/>
          <w:lang w:eastAsia="it-IT"/>
        </w:rPr>
        <w:t xml:space="preserve"> l’abituale attestazione prevista annualmente da ANAC</w:t>
      </w:r>
      <w:r w:rsidRPr="00D40BDC">
        <w:rPr>
          <w:rFonts w:ascii="Verdana" w:hAnsi="Verdana"/>
          <w:sz w:val="21"/>
          <w:szCs w:val="21"/>
          <w:lang w:eastAsia="it-IT"/>
        </w:rPr>
        <w:t xml:space="preserve">. </w:t>
      </w:r>
    </w:p>
    <w:p w14:paraId="2E07AC7C" w14:textId="77777777" w:rsidR="004A723B" w:rsidRPr="00DE493F" w:rsidRDefault="004A723B">
      <w:pPr>
        <w:autoSpaceDE w:val="0"/>
        <w:spacing w:after="30" w:line="240" w:lineRule="auto"/>
        <w:jc w:val="both"/>
        <w:rPr>
          <w:rFonts w:ascii="Verdana" w:hAnsi="Verdana"/>
          <w:sz w:val="21"/>
          <w:szCs w:val="21"/>
          <w:highlight w:val="lightGray"/>
        </w:rPr>
      </w:pPr>
    </w:p>
    <w:tbl>
      <w:tblPr>
        <w:tblW w:w="5000" w:type="pct"/>
        <w:tblLayout w:type="fixed"/>
        <w:tblLook w:val="0000" w:firstRow="0" w:lastRow="0" w:firstColumn="0" w:lastColumn="0" w:noHBand="0" w:noVBand="0"/>
      </w:tblPr>
      <w:tblGrid>
        <w:gridCol w:w="1925"/>
        <w:gridCol w:w="1926"/>
        <w:gridCol w:w="1926"/>
        <w:gridCol w:w="1808"/>
        <w:gridCol w:w="2043"/>
      </w:tblGrid>
      <w:tr w:rsidR="00DC28D5" w:rsidRPr="00DE493F" w14:paraId="20C218E6" w14:textId="77777777" w:rsidTr="001B4ADF">
        <w:trPr>
          <w:trHeight w:val="500"/>
        </w:trPr>
        <w:tc>
          <w:tcPr>
            <w:tcW w:w="1000" w:type="pct"/>
            <w:tcBorders>
              <w:top w:val="single" w:sz="4" w:space="0" w:color="000000"/>
              <w:left w:val="single" w:sz="4" w:space="0" w:color="000000"/>
              <w:bottom w:val="single" w:sz="4" w:space="0" w:color="000000"/>
            </w:tcBorders>
            <w:shd w:val="clear" w:color="auto" w:fill="D9D9D9"/>
            <w:vAlign w:val="center"/>
          </w:tcPr>
          <w:p w14:paraId="7770EDA8"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Misura</w:t>
            </w:r>
          </w:p>
        </w:tc>
        <w:tc>
          <w:tcPr>
            <w:tcW w:w="1000" w:type="pct"/>
            <w:tcBorders>
              <w:top w:val="single" w:sz="4" w:space="0" w:color="000000"/>
              <w:left w:val="single" w:sz="4" w:space="0" w:color="000000"/>
              <w:bottom w:val="single" w:sz="4" w:space="0" w:color="000000"/>
            </w:tcBorders>
            <w:shd w:val="clear" w:color="auto" w:fill="D9D9D9"/>
            <w:vAlign w:val="center"/>
          </w:tcPr>
          <w:p w14:paraId="425A335A"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Tipologia</w:t>
            </w:r>
          </w:p>
        </w:tc>
        <w:tc>
          <w:tcPr>
            <w:tcW w:w="1000" w:type="pct"/>
            <w:tcBorders>
              <w:top w:val="single" w:sz="4" w:space="0" w:color="000000"/>
              <w:left w:val="single" w:sz="4" w:space="0" w:color="000000"/>
              <w:bottom w:val="single" w:sz="4" w:space="0" w:color="000000"/>
            </w:tcBorders>
            <w:shd w:val="clear" w:color="auto" w:fill="D9D9D9"/>
            <w:vAlign w:val="center"/>
          </w:tcPr>
          <w:p w14:paraId="1970DE23"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Responsabile</w:t>
            </w:r>
          </w:p>
        </w:tc>
        <w:tc>
          <w:tcPr>
            <w:tcW w:w="939" w:type="pct"/>
            <w:tcBorders>
              <w:top w:val="single" w:sz="4" w:space="0" w:color="000000"/>
              <w:left w:val="single" w:sz="4" w:space="0" w:color="000000"/>
              <w:bottom w:val="single" w:sz="4" w:space="0" w:color="000000"/>
            </w:tcBorders>
            <w:shd w:val="clear" w:color="auto" w:fill="D9D9D9"/>
            <w:vAlign w:val="center"/>
          </w:tcPr>
          <w:p w14:paraId="1A06A169"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Tempi</w:t>
            </w:r>
          </w:p>
        </w:tc>
        <w:tc>
          <w:tcPr>
            <w:tcW w:w="106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B6AF192"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Indicatore</w:t>
            </w:r>
          </w:p>
        </w:tc>
      </w:tr>
      <w:tr w:rsidR="00DC28D5" w:rsidRPr="00DE493F" w14:paraId="578E8622" w14:textId="77777777" w:rsidTr="004A723B">
        <w:trPr>
          <w:trHeight w:val="1134"/>
        </w:trPr>
        <w:tc>
          <w:tcPr>
            <w:tcW w:w="1000" w:type="pct"/>
            <w:tcBorders>
              <w:top w:val="single" w:sz="4" w:space="0" w:color="000000"/>
              <w:left w:val="single" w:sz="4" w:space="0" w:color="000000"/>
              <w:bottom w:val="single" w:sz="4" w:space="0" w:color="000000"/>
            </w:tcBorders>
            <w:vAlign w:val="center"/>
          </w:tcPr>
          <w:p w14:paraId="5142057F"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Monitoraggio assolvimento obblighi di pubblicazione</w:t>
            </w:r>
          </w:p>
        </w:tc>
        <w:tc>
          <w:tcPr>
            <w:tcW w:w="1000" w:type="pct"/>
            <w:tcBorders>
              <w:top w:val="single" w:sz="4" w:space="0" w:color="000000"/>
              <w:left w:val="single" w:sz="4" w:space="0" w:color="000000"/>
              <w:bottom w:val="single" w:sz="4" w:space="0" w:color="000000"/>
            </w:tcBorders>
            <w:vAlign w:val="center"/>
          </w:tcPr>
          <w:p w14:paraId="6CD9C016"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Misura</w:t>
            </w:r>
            <w:r w:rsidR="006026DF" w:rsidRPr="00D40BDC">
              <w:rPr>
                <w:rFonts w:ascii="Verdana" w:hAnsi="Verdana"/>
                <w:bCs/>
                <w:sz w:val="16"/>
                <w:szCs w:val="16"/>
                <w:lang w:eastAsia="it-IT"/>
              </w:rPr>
              <w:t xml:space="preserve"> di </w:t>
            </w:r>
            <w:r w:rsidRPr="00D40BDC">
              <w:rPr>
                <w:rFonts w:ascii="Verdana" w:hAnsi="Verdana"/>
                <w:bCs/>
                <w:sz w:val="16"/>
                <w:szCs w:val="16"/>
                <w:lang w:eastAsia="it-IT"/>
              </w:rPr>
              <w:t>controllo</w:t>
            </w:r>
          </w:p>
        </w:tc>
        <w:tc>
          <w:tcPr>
            <w:tcW w:w="1000" w:type="pct"/>
            <w:tcBorders>
              <w:top w:val="single" w:sz="4" w:space="0" w:color="000000"/>
              <w:left w:val="single" w:sz="4" w:space="0" w:color="000000"/>
              <w:bottom w:val="single" w:sz="4" w:space="0" w:color="000000"/>
            </w:tcBorders>
            <w:vAlign w:val="center"/>
          </w:tcPr>
          <w:p w14:paraId="78AAFBDB"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OAV e RPCT</w:t>
            </w:r>
          </w:p>
        </w:tc>
        <w:tc>
          <w:tcPr>
            <w:tcW w:w="939" w:type="pct"/>
            <w:tcBorders>
              <w:top w:val="single" w:sz="4" w:space="0" w:color="000000"/>
              <w:left w:val="single" w:sz="4" w:space="0" w:color="000000"/>
              <w:bottom w:val="single" w:sz="4" w:space="0" w:color="000000"/>
            </w:tcBorders>
            <w:vAlign w:val="center"/>
          </w:tcPr>
          <w:p w14:paraId="528D081A" w14:textId="77777777" w:rsidR="00DC28D5" w:rsidRPr="00D40BDC" w:rsidRDefault="00CC7113" w:rsidP="006026DF">
            <w:pPr>
              <w:spacing w:after="150"/>
              <w:contextualSpacing/>
              <w:jc w:val="center"/>
              <w:rPr>
                <w:rFonts w:ascii="Verdana" w:hAnsi="Verdana"/>
                <w:sz w:val="16"/>
                <w:szCs w:val="16"/>
              </w:rPr>
            </w:pPr>
            <w:r w:rsidRPr="00D40BDC">
              <w:rPr>
                <w:rFonts w:ascii="Verdana" w:hAnsi="Verdana"/>
                <w:bCs/>
                <w:sz w:val="16"/>
                <w:szCs w:val="16"/>
                <w:lang w:eastAsia="it-IT"/>
              </w:rPr>
              <w:t>Entro tempistica disposta da ANAC</w:t>
            </w:r>
          </w:p>
        </w:tc>
        <w:tc>
          <w:tcPr>
            <w:tcW w:w="1061" w:type="pct"/>
            <w:tcBorders>
              <w:top w:val="single" w:sz="4" w:space="0" w:color="000000"/>
              <w:left w:val="single" w:sz="4" w:space="0" w:color="000000"/>
              <w:bottom w:val="single" w:sz="4" w:space="0" w:color="000000"/>
              <w:right w:val="single" w:sz="4" w:space="0" w:color="000000"/>
            </w:tcBorders>
            <w:vAlign w:val="center"/>
          </w:tcPr>
          <w:p w14:paraId="077CBDEB"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Attestazione sull’assolvimento degli obblighi di pubblicazione secondo le indicazioni ANAC</w:t>
            </w:r>
          </w:p>
        </w:tc>
      </w:tr>
    </w:tbl>
    <w:p w14:paraId="11BCB52C" w14:textId="77777777" w:rsidR="00877A7E" w:rsidRPr="00DD7E53" w:rsidRDefault="00877A7E">
      <w:pPr>
        <w:pStyle w:val="Default"/>
        <w:spacing w:after="72"/>
        <w:jc w:val="both"/>
        <w:rPr>
          <w:rFonts w:ascii="Verdana" w:hAnsi="Verdana" w:cs="Times New Roman"/>
          <w:color w:val="auto"/>
          <w:sz w:val="21"/>
          <w:szCs w:val="21"/>
          <w:lang w:eastAsia="it-IT"/>
        </w:rPr>
      </w:pPr>
    </w:p>
    <w:p w14:paraId="0F7F2544" w14:textId="1FFB048A" w:rsidR="00DF4700" w:rsidRPr="00DD7E53" w:rsidRDefault="00BA74E9">
      <w:pPr>
        <w:pStyle w:val="Default"/>
        <w:spacing w:after="72"/>
        <w:jc w:val="both"/>
        <w:rPr>
          <w:rFonts w:ascii="Verdana" w:hAnsi="Verdana" w:cs="Times New Roman"/>
          <w:color w:val="FF0000"/>
          <w:sz w:val="21"/>
          <w:szCs w:val="21"/>
          <w:lang w:eastAsia="it-IT"/>
        </w:rPr>
      </w:pPr>
      <w:r w:rsidRPr="00DD7E53">
        <w:rPr>
          <w:rFonts w:ascii="Verdana" w:hAnsi="Verdana" w:cs="Times New Roman"/>
          <w:color w:val="auto"/>
          <w:sz w:val="21"/>
          <w:szCs w:val="21"/>
          <w:lang w:eastAsia="it-IT"/>
        </w:rPr>
        <w:t>Inoltre, p</w:t>
      </w:r>
      <w:r w:rsidR="00CC1A7F" w:rsidRPr="00DD7E53">
        <w:rPr>
          <w:rFonts w:ascii="Verdana" w:hAnsi="Verdana" w:cs="Times New Roman"/>
          <w:color w:val="auto"/>
          <w:sz w:val="21"/>
          <w:szCs w:val="21"/>
          <w:lang w:eastAsia="it-IT"/>
        </w:rPr>
        <w:t>er quanto riguarda</w:t>
      </w:r>
      <w:r w:rsidR="00205761" w:rsidRPr="00DD7E53">
        <w:rPr>
          <w:rFonts w:ascii="Verdana" w:hAnsi="Verdana" w:cs="Times New Roman"/>
          <w:color w:val="auto"/>
          <w:sz w:val="21"/>
          <w:szCs w:val="21"/>
          <w:lang w:eastAsia="it-IT"/>
        </w:rPr>
        <w:t xml:space="preserve"> </w:t>
      </w:r>
      <w:r w:rsidR="00CF1D08" w:rsidRPr="00DD7E53">
        <w:rPr>
          <w:rFonts w:ascii="Verdana" w:hAnsi="Verdana" w:cs="Times New Roman"/>
          <w:color w:val="auto"/>
          <w:sz w:val="21"/>
          <w:szCs w:val="21"/>
          <w:lang w:eastAsia="it-IT"/>
        </w:rPr>
        <w:t xml:space="preserve">il </w:t>
      </w:r>
      <w:r w:rsidR="00CC1A7F" w:rsidRPr="00DD7E53">
        <w:rPr>
          <w:rFonts w:ascii="Verdana" w:hAnsi="Verdana" w:cs="Times New Roman"/>
          <w:color w:val="auto"/>
          <w:sz w:val="21"/>
          <w:szCs w:val="21"/>
          <w:lang w:eastAsia="it-IT"/>
        </w:rPr>
        <w:t>monitoraggio del regolare funzionamento dei flussi informativi per la pubblicazione dei dati nella sezione Società Trasparente</w:t>
      </w:r>
      <w:r w:rsidRPr="00DD7E53">
        <w:rPr>
          <w:rFonts w:ascii="Verdana" w:hAnsi="Verdana" w:cs="Times New Roman"/>
          <w:color w:val="auto"/>
          <w:sz w:val="21"/>
          <w:szCs w:val="21"/>
          <w:lang w:eastAsia="it-IT"/>
        </w:rPr>
        <w:t xml:space="preserve"> suggerit</w:t>
      </w:r>
      <w:r w:rsidR="00276424" w:rsidRPr="00DD7E53">
        <w:rPr>
          <w:rFonts w:ascii="Verdana" w:hAnsi="Verdana" w:cs="Times New Roman"/>
          <w:color w:val="auto"/>
          <w:sz w:val="21"/>
          <w:szCs w:val="21"/>
          <w:lang w:eastAsia="it-IT"/>
        </w:rPr>
        <w:t>o</w:t>
      </w:r>
      <w:r w:rsidRPr="00DD7E53">
        <w:rPr>
          <w:rFonts w:ascii="Verdana" w:hAnsi="Verdana" w:cs="Times New Roman"/>
          <w:color w:val="auto"/>
          <w:sz w:val="21"/>
          <w:szCs w:val="21"/>
          <w:lang w:eastAsia="it-IT"/>
        </w:rPr>
        <w:t xml:space="preserve"> nel PNA 2022</w:t>
      </w:r>
      <w:r w:rsidR="00CC1A7F" w:rsidRPr="00DD7E53">
        <w:rPr>
          <w:rFonts w:ascii="Verdana" w:hAnsi="Verdana" w:cs="Times New Roman"/>
          <w:color w:val="auto"/>
          <w:sz w:val="21"/>
          <w:szCs w:val="21"/>
          <w:lang w:eastAsia="it-IT"/>
        </w:rPr>
        <w:t>, si prevede che</w:t>
      </w:r>
      <w:r w:rsidRPr="00DD7E53">
        <w:rPr>
          <w:rFonts w:ascii="Verdana" w:hAnsi="Verdana" w:cs="Times New Roman"/>
          <w:color w:val="auto"/>
          <w:sz w:val="21"/>
          <w:szCs w:val="21"/>
          <w:lang w:eastAsia="it-IT"/>
        </w:rPr>
        <w:t xml:space="preserve"> sia </w:t>
      </w:r>
      <w:r w:rsidR="00D91F23" w:rsidRPr="00DD7E53">
        <w:rPr>
          <w:rFonts w:ascii="Verdana" w:hAnsi="Verdana" w:cs="Times New Roman"/>
          <w:color w:val="auto"/>
          <w:sz w:val="21"/>
          <w:szCs w:val="21"/>
          <w:lang w:eastAsia="it-IT"/>
        </w:rPr>
        <w:t>l’Ufficio Prevenzione Corruzione e Trasparenza</w:t>
      </w:r>
      <w:r w:rsidR="0086028D" w:rsidRPr="00DD7E53">
        <w:rPr>
          <w:rFonts w:ascii="Verdana" w:hAnsi="Verdana" w:cs="Times New Roman"/>
          <w:color w:val="auto"/>
          <w:sz w:val="21"/>
          <w:szCs w:val="21"/>
          <w:lang w:eastAsia="it-IT"/>
        </w:rPr>
        <w:t>, attraverso le funzioni di supporto,</w:t>
      </w:r>
      <w:r w:rsidR="00D91F23" w:rsidRPr="00DD7E53">
        <w:rPr>
          <w:rFonts w:ascii="Verdana" w:hAnsi="Verdana" w:cs="Times New Roman"/>
          <w:color w:val="auto"/>
          <w:sz w:val="21"/>
          <w:szCs w:val="21"/>
          <w:lang w:eastAsia="it-IT"/>
        </w:rPr>
        <w:t xml:space="preserve"> </w:t>
      </w:r>
      <w:r w:rsidRPr="00DD7E53">
        <w:rPr>
          <w:rFonts w:ascii="Verdana" w:hAnsi="Verdana" w:cs="Times New Roman"/>
          <w:color w:val="auto"/>
          <w:sz w:val="21"/>
          <w:szCs w:val="21"/>
          <w:lang w:eastAsia="it-IT"/>
        </w:rPr>
        <w:t>a segnalare</w:t>
      </w:r>
      <w:r w:rsidR="00D91F23" w:rsidRPr="00DD7E53">
        <w:rPr>
          <w:rFonts w:ascii="Verdana" w:hAnsi="Verdana" w:cs="Times New Roman"/>
          <w:color w:val="auto"/>
          <w:sz w:val="21"/>
          <w:szCs w:val="21"/>
          <w:lang w:eastAsia="it-IT"/>
        </w:rPr>
        <w:t xml:space="preserve"> semestralmente ai Responsabili individuati eventuali anomalie con riguardo </w:t>
      </w:r>
      <w:r w:rsidR="00F072DA" w:rsidRPr="00DD7E53">
        <w:rPr>
          <w:rFonts w:ascii="Verdana" w:hAnsi="Verdana" w:cs="Times New Roman"/>
          <w:color w:val="auto"/>
          <w:sz w:val="21"/>
          <w:szCs w:val="21"/>
          <w:lang w:eastAsia="it-IT"/>
        </w:rPr>
        <w:t>alle</w:t>
      </w:r>
      <w:r w:rsidRPr="00DD7E53">
        <w:rPr>
          <w:rFonts w:ascii="Verdana" w:hAnsi="Verdana" w:cs="Times New Roman"/>
          <w:color w:val="auto"/>
          <w:sz w:val="21"/>
          <w:szCs w:val="21"/>
          <w:lang w:eastAsia="it-IT"/>
        </w:rPr>
        <w:t xml:space="preserve"> </w:t>
      </w:r>
      <w:r w:rsidR="00D91F23" w:rsidRPr="00DD7E53">
        <w:rPr>
          <w:rFonts w:ascii="Verdana" w:hAnsi="Verdana" w:cs="Times New Roman"/>
          <w:color w:val="auto"/>
          <w:sz w:val="21"/>
          <w:szCs w:val="21"/>
          <w:lang w:eastAsia="it-IT"/>
        </w:rPr>
        <w:t>voci che compongono l’Allegato 1</w:t>
      </w:r>
      <w:r w:rsidR="00DF2328" w:rsidRPr="00DD7E53">
        <w:rPr>
          <w:rFonts w:ascii="Verdana" w:hAnsi="Verdana" w:cs="Times New Roman"/>
          <w:color w:val="auto"/>
          <w:sz w:val="21"/>
          <w:szCs w:val="21"/>
          <w:lang w:eastAsia="it-IT"/>
        </w:rPr>
        <w:t xml:space="preserve"> Trasparenza.</w:t>
      </w:r>
      <w:r w:rsidR="00205761" w:rsidRPr="00DD7E53">
        <w:rPr>
          <w:rFonts w:ascii="Verdana" w:hAnsi="Verdana" w:cs="Times New Roman"/>
          <w:color w:val="auto"/>
          <w:sz w:val="21"/>
          <w:szCs w:val="21"/>
          <w:lang w:eastAsia="it-IT"/>
        </w:rPr>
        <w:t xml:space="preserve"> </w:t>
      </w:r>
    </w:p>
    <w:p w14:paraId="1BC551BC" w14:textId="77777777" w:rsidR="00647A86" w:rsidRPr="00DD7E53" w:rsidRDefault="00647A86">
      <w:pPr>
        <w:pStyle w:val="Default"/>
        <w:spacing w:after="72"/>
        <w:jc w:val="both"/>
        <w:rPr>
          <w:rFonts w:ascii="Verdana" w:hAnsi="Verdana" w:cs="Times New Roman"/>
          <w:color w:val="00B0F0"/>
          <w:sz w:val="21"/>
          <w:szCs w:val="21"/>
          <w:lang w:eastAsia="it-IT"/>
        </w:rPr>
      </w:pPr>
    </w:p>
    <w:p w14:paraId="7BDD5D54" w14:textId="20A3C3E8" w:rsidR="003C0523" w:rsidRPr="00DD7E53" w:rsidRDefault="00DC28D5">
      <w:pPr>
        <w:pStyle w:val="Default"/>
        <w:spacing w:after="72"/>
        <w:jc w:val="both"/>
        <w:rPr>
          <w:rFonts w:ascii="Verdana" w:hAnsi="Verdana" w:cs="Times New Roman"/>
          <w:sz w:val="21"/>
          <w:szCs w:val="21"/>
          <w:lang w:eastAsia="it-IT"/>
        </w:rPr>
      </w:pPr>
      <w:r w:rsidRPr="00DD7E53">
        <w:rPr>
          <w:rFonts w:ascii="Verdana" w:hAnsi="Verdana" w:cs="Times New Roman"/>
          <w:sz w:val="21"/>
          <w:szCs w:val="21"/>
          <w:lang w:eastAsia="it-IT"/>
        </w:rPr>
        <w:t>Nel corso del 202</w:t>
      </w:r>
      <w:r w:rsidR="003A6043" w:rsidRPr="00DD7E53">
        <w:rPr>
          <w:rFonts w:ascii="Verdana" w:hAnsi="Verdana" w:cs="Times New Roman"/>
          <w:sz w:val="21"/>
          <w:szCs w:val="21"/>
          <w:lang w:eastAsia="it-IT"/>
        </w:rPr>
        <w:t>5</w:t>
      </w:r>
      <w:r w:rsidRPr="00DD7E53">
        <w:rPr>
          <w:rFonts w:ascii="Verdana" w:hAnsi="Verdana" w:cs="Times New Roman"/>
          <w:sz w:val="21"/>
          <w:szCs w:val="21"/>
          <w:lang w:eastAsia="it-IT"/>
        </w:rPr>
        <w:t xml:space="preserve"> Montecatone R.I. S.p.A. ha continuato a pubblicare nella sezione Società Trasparente</w:t>
      </w:r>
      <w:r w:rsidR="00C432DA" w:rsidRPr="00DD7E53">
        <w:rPr>
          <w:rFonts w:ascii="Verdana" w:hAnsi="Verdana" w:cs="Times New Roman"/>
          <w:sz w:val="21"/>
          <w:szCs w:val="21"/>
          <w:lang w:eastAsia="it-IT"/>
        </w:rPr>
        <w:t xml:space="preserve"> Altri Contenuti – Dati ulteriori -</w:t>
      </w:r>
      <w:r w:rsidRPr="00DD7E53">
        <w:rPr>
          <w:rFonts w:ascii="Verdana" w:hAnsi="Verdana" w:cs="Times New Roman"/>
          <w:sz w:val="21"/>
          <w:szCs w:val="21"/>
          <w:lang w:eastAsia="it-IT"/>
        </w:rPr>
        <w:t xml:space="preserve"> i dati relativi a tutti i risarcimenti erogati nell’ultimo quinquennio ed i riferimenti delle misure che garantiscono la copertura assicurativa per la responsabilità civile verso terzi e verso i prestatori d’opera, sulla base di quanto disposto dalla Legge 8 marzo 2017 n. 24 “Disposizioni in materia di sicurezza delle cure e della persona assistita, nonché in materia di responsabilità professionale degli esercenti le professioni sanitarie” (ex art. 4 e art. 10). </w:t>
      </w:r>
    </w:p>
    <w:p w14:paraId="79E78803" w14:textId="77777777" w:rsidR="002D1C50" w:rsidRDefault="002D1C50">
      <w:pPr>
        <w:pStyle w:val="Default"/>
        <w:spacing w:after="72"/>
        <w:jc w:val="both"/>
        <w:rPr>
          <w:rFonts w:ascii="Verdana" w:hAnsi="Verdana" w:cs="Times New Roman"/>
          <w:sz w:val="21"/>
          <w:szCs w:val="21"/>
          <w:lang w:eastAsia="it-IT"/>
        </w:rPr>
      </w:pPr>
    </w:p>
    <w:p w14:paraId="50C76C3F" w14:textId="5B34211F" w:rsidR="00DC28D5" w:rsidRPr="00DD7E53" w:rsidRDefault="00DC28D5">
      <w:pPr>
        <w:pStyle w:val="Default"/>
        <w:spacing w:after="72"/>
        <w:jc w:val="both"/>
        <w:rPr>
          <w:rFonts w:ascii="Verdana" w:hAnsi="Verdana"/>
          <w:sz w:val="21"/>
          <w:szCs w:val="21"/>
        </w:rPr>
      </w:pPr>
      <w:r w:rsidRPr="00DD7E53">
        <w:rPr>
          <w:rFonts w:ascii="Verdana" w:hAnsi="Verdana" w:cs="Times New Roman"/>
          <w:sz w:val="21"/>
          <w:szCs w:val="21"/>
          <w:lang w:eastAsia="it-IT"/>
        </w:rPr>
        <w:t xml:space="preserve">Altra misura di trasparenza è l’istituto dell’accesso civico, previsto dal D. Lgs. 33/2013 come novellato dal D. Lgs. 97/2016, che riconosce oggi a chiunque, indipendentemente dalla titolarità di situazioni giuridicamente rilevanti, l’accesso ai dati e ai documenti detenuti dalle pubbliche amministrazioni, nel rispetto dei limiti relativi alla tutela di interessi pubblici e privati, secondo quanto previsto all’art. 5-bis dello stesso decreto sopra citato ed in applicazione delle “Linee guida recanti indicazioni operative ai fini della definizione delle esclusioni e dei limiti all’accesso civico di cui all’art. 5 co.2 del D.Lgs. 33/2013” elaborate da ANAC con Delibera 1309/2016. </w:t>
      </w:r>
    </w:p>
    <w:p w14:paraId="0D90883A" w14:textId="5D68EAF6" w:rsidR="00E82340" w:rsidRPr="00DD7E53" w:rsidRDefault="00DC28D5">
      <w:pPr>
        <w:pStyle w:val="Default"/>
        <w:spacing w:after="72"/>
        <w:jc w:val="both"/>
        <w:rPr>
          <w:rFonts w:ascii="Verdana" w:hAnsi="Verdana" w:cs="Times New Roman"/>
          <w:color w:val="auto"/>
          <w:sz w:val="21"/>
          <w:szCs w:val="21"/>
          <w:lang w:eastAsia="it-IT"/>
        </w:rPr>
      </w:pPr>
      <w:r w:rsidRPr="00DD7E53">
        <w:rPr>
          <w:rFonts w:ascii="Verdana" w:hAnsi="Verdana" w:cs="Times New Roman"/>
          <w:color w:val="auto"/>
          <w:sz w:val="21"/>
          <w:szCs w:val="21"/>
          <w:lang w:eastAsia="it-IT"/>
        </w:rPr>
        <w:t>A tal fine, Montecatone R.I. S.p.A. ha aggiorna</w:t>
      </w:r>
      <w:r w:rsidR="00C432DA" w:rsidRPr="00DD7E53">
        <w:rPr>
          <w:rFonts w:ascii="Verdana" w:hAnsi="Verdana" w:cs="Times New Roman"/>
          <w:color w:val="auto"/>
          <w:sz w:val="21"/>
          <w:szCs w:val="21"/>
          <w:lang w:eastAsia="it-IT"/>
        </w:rPr>
        <w:t>to</w:t>
      </w:r>
      <w:r w:rsidRPr="00DD7E53">
        <w:rPr>
          <w:rFonts w:ascii="Verdana" w:hAnsi="Verdana" w:cs="Times New Roman"/>
          <w:color w:val="auto"/>
          <w:sz w:val="21"/>
          <w:szCs w:val="21"/>
          <w:lang w:eastAsia="it-IT"/>
        </w:rPr>
        <w:t xml:space="preserve"> la tabella relativa agli accessi </w:t>
      </w:r>
      <w:r w:rsidR="00DA54F0" w:rsidRPr="00DD7E53">
        <w:rPr>
          <w:rFonts w:ascii="Verdana" w:hAnsi="Verdana" w:cs="Times New Roman"/>
          <w:color w:val="auto"/>
          <w:sz w:val="21"/>
          <w:szCs w:val="21"/>
          <w:lang w:eastAsia="it-IT"/>
        </w:rPr>
        <w:t xml:space="preserve">civici </w:t>
      </w:r>
      <w:r w:rsidR="008D376A" w:rsidRPr="00DD7E53">
        <w:rPr>
          <w:rFonts w:ascii="Verdana" w:hAnsi="Verdana" w:cs="Times New Roman"/>
          <w:color w:val="auto"/>
          <w:sz w:val="21"/>
          <w:szCs w:val="21"/>
          <w:lang w:eastAsia="it-IT"/>
        </w:rPr>
        <w:t>rileva</w:t>
      </w:r>
      <w:r w:rsidR="00BD411A" w:rsidRPr="00DD7E53">
        <w:rPr>
          <w:rFonts w:ascii="Verdana" w:hAnsi="Verdana" w:cs="Times New Roman"/>
          <w:color w:val="auto"/>
          <w:sz w:val="21"/>
          <w:szCs w:val="21"/>
          <w:lang w:eastAsia="it-IT"/>
        </w:rPr>
        <w:t>ndo</w:t>
      </w:r>
      <w:r w:rsidR="00D40BDC" w:rsidRPr="00DD7E53">
        <w:rPr>
          <w:rFonts w:ascii="Verdana" w:hAnsi="Verdana" w:cs="Times New Roman"/>
          <w:color w:val="auto"/>
          <w:sz w:val="21"/>
          <w:szCs w:val="21"/>
          <w:lang w:eastAsia="it-IT"/>
        </w:rPr>
        <w:t>,</w:t>
      </w:r>
      <w:r w:rsidR="008D376A" w:rsidRPr="00DD7E53">
        <w:rPr>
          <w:rFonts w:ascii="Verdana" w:hAnsi="Verdana" w:cs="Times New Roman"/>
          <w:color w:val="auto"/>
          <w:sz w:val="21"/>
          <w:szCs w:val="21"/>
          <w:lang w:eastAsia="it-IT"/>
        </w:rPr>
        <w:t xml:space="preserve"> </w:t>
      </w:r>
      <w:r w:rsidR="00BD411A" w:rsidRPr="00DD7E53">
        <w:rPr>
          <w:rFonts w:ascii="Verdana" w:hAnsi="Verdana" w:cs="Times New Roman"/>
          <w:color w:val="auto"/>
          <w:sz w:val="21"/>
          <w:szCs w:val="21"/>
          <w:lang w:eastAsia="it-IT"/>
        </w:rPr>
        <w:t>nel corso del 202</w:t>
      </w:r>
      <w:r w:rsidR="00D40BDC" w:rsidRPr="00DD7E53">
        <w:rPr>
          <w:rFonts w:ascii="Verdana" w:hAnsi="Verdana" w:cs="Times New Roman"/>
          <w:color w:val="auto"/>
          <w:sz w:val="21"/>
          <w:szCs w:val="21"/>
          <w:lang w:eastAsia="it-IT"/>
        </w:rPr>
        <w:t>5,</w:t>
      </w:r>
      <w:r w:rsidR="00BD411A" w:rsidRPr="00DD7E53">
        <w:rPr>
          <w:rFonts w:ascii="Verdana" w:hAnsi="Verdana" w:cs="Times New Roman"/>
          <w:color w:val="auto"/>
          <w:sz w:val="21"/>
          <w:szCs w:val="21"/>
          <w:lang w:eastAsia="it-IT"/>
        </w:rPr>
        <w:t xml:space="preserve"> </w:t>
      </w:r>
      <w:r w:rsidR="0045525E" w:rsidRPr="00DD7E53">
        <w:rPr>
          <w:rFonts w:ascii="Verdana" w:hAnsi="Verdana" w:cs="Times New Roman"/>
          <w:color w:val="auto"/>
          <w:sz w:val="21"/>
          <w:szCs w:val="21"/>
          <w:lang w:eastAsia="it-IT"/>
        </w:rPr>
        <w:t>richieste</w:t>
      </w:r>
      <w:r w:rsidR="00BD411A" w:rsidRPr="00DD7E53">
        <w:rPr>
          <w:rFonts w:ascii="Verdana" w:hAnsi="Verdana" w:cs="Times New Roman"/>
          <w:color w:val="auto"/>
          <w:sz w:val="21"/>
          <w:szCs w:val="21"/>
          <w:lang w:eastAsia="it-IT"/>
        </w:rPr>
        <w:t xml:space="preserve"> di accesso documentale </w:t>
      </w:r>
      <w:r w:rsidR="00D40BDC" w:rsidRPr="00DD7E53">
        <w:rPr>
          <w:rFonts w:ascii="Verdana" w:hAnsi="Verdana" w:cs="Times New Roman"/>
          <w:color w:val="auto"/>
          <w:sz w:val="21"/>
          <w:szCs w:val="21"/>
          <w:lang w:eastAsia="it-IT"/>
        </w:rPr>
        <w:t>(</w:t>
      </w:r>
      <w:r w:rsidR="00BD411A" w:rsidRPr="00DD7E53">
        <w:rPr>
          <w:rFonts w:ascii="Verdana" w:hAnsi="Verdana" w:cs="Times New Roman"/>
          <w:color w:val="auto"/>
          <w:sz w:val="21"/>
          <w:szCs w:val="21"/>
          <w:lang w:eastAsia="it-IT"/>
        </w:rPr>
        <w:t>ai sensi della L. 241/1990</w:t>
      </w:r>
      <w:r w:rsidR="00D40BDC" w:rsidRPr="00DD7E53">
        <w:rPr>
          <w:rFonts w:ascii="Verdana" w:hAnsi="Verdana" w:cs="Times New Roman"/>
          <w:color w:val="auto"/>
          <w:sz w:val="21"/>
          <w:szCs w:val="21"/>
          <w:lang w:eastAsia="it-IT"/>
        </w:rPr>
        <w:t>)</w:t>
      </w:r>
      <w:r w:rsidR="0045525E" w:rsidRPr="00DD7E53">
        <w:rPr>
          <w:rFonts w:ascii="Verdana" w:hAnsi="Verdana" w:cs="Times New Roman"/>
          <w:color w:val="auto"/>
          <w:sz w:val="21"/>
          <w:szCs w:val="21"/>
          <w:lang w:eastAsia="it-IT"/>
        </w:rPr>
        <w:t xml:space="preserve"> e una richiesta di accesso generalizzato ai sensi del D.</w:t>
      </w:r>
      <w:r w:rsidR="009650CC">
        <w:rPr>
          <w:rFonts w:ascii="Verdana" w:hAnsi="Verdana" w:cs="Times New Roman"/>
          <w:color w:val="auto"/>
          <w:sz w:val="21"/>
          <w:szCs w:val="21"/>
          <w:lang w:eastAsia="it-IT"/>
        </w:rPr>
        <w:t xml:space="preserve"> </w:t>
      </w:r>
      <w:r w:rsidR="0045525E" w:rsidRPr="00DD7E53">
        <w:rPr>
          <w:rFonts w:ascii="Verdana" w:hAnsi="Verdana" w:cs="Times New Roman"/>
          <w:color w:val="auto"/>
          <w:sz w:val="21"/>
          <w:szCs w:val="21"/>
          <w:lang w:eastAsia="it-IT"/>
        </w:rPr>
        <w:t>Lgs. 33/2013.</w:t>
      </w:r>
      <w:r w:rsidR="00C432DA" w:rsidRPr="00DD7E53">
        <w:rPr>
          <w:rFonts w:ascii="Verdana" w:hAnsi="Verdana" w:cs="Times New Roman"/>
          <w:color w:val="auto"/>
          <w:sz w:val="21"/>
          <w:szCs w:val="21"/>
          <w:lang w:eastAsia="it-IT"/>
        </w:rPr>
        <w:t xml:space="preserve"> </w:t>
      </w:r>
    </w:p>
    <w:p w14:paraId="7CC6DCA7" w14:textId="77777777" w:rsidR="00567473" w:rsidRPr="00DD7E53" w:rsidRDefault="00567473" w:rsidP="00AA6C68">
      <w:pPr>
        <w:shd w:val="clear" w:color="auto" w:fill="FFFFFF"/>
        <w:spacing w:after="72" w:line="240" w:lineRule="auto"/>
        <w:contextualSpacing/>
        <w:jc w:val="both"/>
        <w:rPr>
          <w:rFonts w:ascii="Verdana" w:hAnsi="Verdana"/>
          <w:sz w:val="21"/>
          <w:szCs w:val="21"/>
        </w:rPr>
      </w:pPr>
    </w:p>
    <w:p w14:paraId="740BECB9" w14:textId="7A8D97E1" w:rsidR="006F347B" w:rsidRPr="00830B9D" w:rsidRDefault="00AA6C68" w:rsidP="00BD35F8">
      <w:pPr>
        <w:shd w:val="clear" w:color="auto" w:fill="FFFFFF"/>
        <w:spacing w:after="72" w:line="240" w:lineRule="auto"/>
        <w:contextualSpacing/>
        <w:jc w:val="both"/>
        <w:rPr>
          <w:rFonts w:ascii="Verdana" w:hAnsi="Verdana"/>
          <w:sz w:val="21"/>
          <w:szCs w:val="21"/>
        </w:rPr>
      </w:pPr>
      <w:r w:rsidRPr="00DD7E53">
        <w:rPr>
          <w:rFonts w:ascii="Verdana" w:hAnsi="Verdana"/>
          <w:sz w:val="21"/>
          <w:szCs w:val="21"/>
        </w:rPr>
        <w:t>I contenuti della Sottosezione</w:t>
      </w:r>
      <w:r w:rsidR="00195A94" w:rsidRPr="00DD7E53">
        <w:rPr>
          <w:rFonts w:ascii="Verdana" w:hAnsi="Verdana"/>
          <w:sz w:val="21"/>
          <w:szCs w:val="21"/>
        </w:rPr>
        <w:t xml:space="preserve"> di primo livello</w:t>
      </w:r>
      <w:r w:rsidRPr="00DD7E53">
        <w:rPr>
          <w:rFonts w:ascii="Verdana" w:hAnsi="Verdana"/>
          <w:sz w:val="21"/>
          <w:szCs w:val="21"/>
        </w:rPr>
        <w:t xml:space="preserve"> Bandi di gara e contratti riprendono quelli degli allegati alla delibera ANAC 264/2023 come modificata dalla delibera ANAC 601/2023. Essi s</w:t>
      </w:r>
      <w:r w:rsidR="00CC1E98" w:rsidRPr="00DD7E53">
        <w:rPr>
          <w:rFonts w:ascii="Verdana" w:hAnsi="Verdana"/>
          <w:sz w:val="21"/>
          <w:szCs w:val="21"/>
        </w:rPr>
        <w:t>o</w:t>
      </w:r>
      <w:r w:rsidRPr="00DD7E53">
        <w:rPr>
          <w:rFonts w:ascii="Verdana" w:hAnsi="Verdana"/>
          <w:sz w:val="21"/>
          <w:szCs w:val="21"/>
        </w:rPr>
        <w:t xml:space="preserve">no </w:t>
      </w:r>
      <w:r w:rsidR="00CC1E98" w:rsidRPr="00DD7E53">
        <w:rPr>
          <w:rFonts w:ascii="Verdana" w:hAnsi="Verdana"/>
          <w:sz w:val="21"/>
          <w:szCs w:val="21"/>
        </w:rPr>
        <w:t xml:space="preserve">stati </w:t>
      </w:r>
      <w:r w:rsidRPr="00DD7E53">
        <w:rPr>
          <w:rFonts w:ascii="Verdana" w:hAnsi="Verdana"/>
          <w:sz w:val="21"/>
          <w:szCs w:val="21"/>
        </w:rPr>
        <w:t>oggetto di analisi per quanto attiene all'effettiva applicabilità alle Aziende sanitarie delle singole voci ed ai termini / alle modalità di pubblicazion</w:t>
      </w:r>
      <w:r w:rsidR="004139AC" w:rsidRPr="00DD7E53">
        <w:rPr>
          <w:rFonts w:ascii="Verdana" w:hAnsi="Verdana"/>
          <w:sz w:val="21"/>
          <w:szCs w:val="21"/>
        </w:rPr>
        <w:t xml:space="preserve">e </w:t>
      </w:r>
      <w:r w:rsidR="006F347B" w:rsidRPr="00DD7E53">
        <w:rPr>
          <w:rFonts w:ascii="Verdana" w:hAnsi="Verdana"/>
          <w:sz w:val="21"/>
          <w:szCs w:val="21"/>
        </w:rPr>
        <w:t xml:space="preserve">e l’Organismo Indipendente di Valutazione regionale ha </w:t>
      </w:r>
      <w:r w:rsidR="00EF7455" w:rsidRPr="00DD7E53">
        <w:rPr>
          <w:rFonts w:ascii="Verdana" w:hAnsi="Verdana"/>
          <w:sz w:val="21"/>
          <w:szCs w:val="21"/>
        </w:rPr>
        <w:t>diffuso</w:t>
      </w:r>
      <w:r w:rsidR="006F347B" w:rsidRPr="00DD7E53">
        <w:rPr>
          <w:rFonts w:ascii="Verdana" w:hAnsi="Verdana"/>
          <w:sz w:val="21"/>
          <w:szCs w:val="21"/>
        </w:rPr>
        <w:t xml:space="preserve"> utili indicazioni operative per l’adeguamento di detta </w:t>
      </w:r>
      <w:r w:rsidR="006F347B" w:rsidRPr="00830B9D">
        <w:rPr>
          <w:rFonts w:ascii="Verdana" w:hAnsi="Verdana"/>
          <w:sz w:val="21"/>
          <w:szCs w:val="21"/>
        </w:rPr>
        <w:t>sezione dei siti aziendali</w:t>
      </w:r>
      <w:r w:rsidR="00004CC7" w:rsidRPr="00830B9D">
        <w:rPr>
          <w:rFonts w:ascii="Verdana" w:hAnsi="Verdana"/>
          <w:sz w:val="21"/>
          <w:szCs w:val="21"/>
        </w:rPr>
        <w:t xml:space="preserve"> </w:t>
      </w:r>
      <w:r w:rsidR="00004CC7" w:rsidRPr="00830B9D">
        <w:rPr>
          <w:rStyle w:val="Caratterinotaapidipagina"/>
          <w:rFonts w:ascii="Verdana" w:hAnsi="Verdana"/>
          <w:sz w:val="21"/>
          <w:szCs w:val="21"/>
          <w:lang w:eastAsia="it-IT"/>
        </w:rPr>
        <w:footnoteReference w:id="7"/>
      </w:r>
      <w:r w:rsidR="00004CC7" w:rsidRPr="00830B9D">
        <w:rPr>
          <w:rFonts w:ascii="Verdana" w:hAnsi="Verdana"/>
          <w:sz w:val="21"/>
          <w:szCs w:val="21"/>
        </w:rPr>
        <w:t>.</w:t>
      </w:r>
    </w:p>
    <w:p w14:paraId="0885715E" w14:textId="22D8081D" w:rsidR="00195A94" w:rsidRPr="00830B9D" w:rsidRDefault="006F347B" w:rsidP="00BD35F8">
      <w:pPr>
        <w:shd w:val="clear" w:color="auto" w:fill="FFFFFF"/>
        <w:spacing w:after="72" w:line="240" w:lineRule="auto"/>
        <w:contextualSpacing/>
        <w:jc w:val="both"/>
        <w:rPr>
          <w:rFonts w:ascii="Verdana" w:hAnsi="Verdana"/>
          <w:sz w:val="21"/>
          <w:szCs w:val="21"/>
        </w:rPr>
      </w:pPr>
      <w:r w:rsidRPr="00830B9D">
        <w:rPr>
          <w:rFonts w:ascii="Verdana" w:hAnsi="Verdana"/>
          <w:sz w:val="21"/>
          <w:szCs w:val="21"/>
        </w:rPr>
        <w:t>A</w:t>
      </w:r>
      <w:r w:rsidR="00AA6C68" w:rsidRPr="00830B9D">
        <w:rPr>
          <w:rFonts w:ascii="Verdana" w:hAnsi="Verdana"/>
          <w:sz w:val="21"/>
          <w:szCs w:val="21"/>
        </w:rPr>
        <w:t>lla luce d</w:t>
      </w:r>
      <w:r w:rsidR="00CC1E98" w:rsidRPr="00830B9D">
        <w:rPr>
          <w:rFonts w:ascii="Verdana" w:hAnsi="Verdana"/>
          <w:sz w:val="21"/>
          <w:szCs w:val="21"/>
        </w:rPr>
        <w:t>elle</w:t>
      </w:r>
      <w:r w:rsidR="00AA6C68" w:rsidRPr="00830B9D">
        <w:rPr>
          <w:rFonts w:ascii="Verdana" w:hAnsi="Verdana"/>
          <w:sz w:val="21"/>
          <w:szCs w:val="21"/>
        </w:rPr>
        <w:t xml:space="preserve"> indicazioni</w:t>
      </w:r>
      <w:r w:rsidR="00586D16" w:rsidRPr="00830B9D">
        <w:rPr>
          <w:rFonts w:ascii="Verdana" w:hAnsi="Verdana"/>
          <w:sz w:val="21"/>
          <w:szCs w:val="21"/>
        </w:rPr>
        <w:t xml:space="preserve"> </w:t>
      </w:r>
      <w:r w:rsidR="00AA6C68" w:rsidRPr="00830B9D">
        <w:rPr>
          <w:rFonts w:ascii="Verdana" w:hAnsi="Verdana"/>
          <w:sz w:val="21"/>
          <w:szCs w:val="21"/>
        </w:rPr>
        <w:t xml:space="preserve">ANAC e del progressivo consolidamento dei sistemi di interoperabilità </w:t>
      </w:r>
      <w:r w:rsidR="00195A94" w:rsidRPr="00830B9D">
        <w:rPr>
          <w:rFonts w:ascii="Verdana" w:hAnsi="Verdana"/>
          <w:sz w:val="21"/>
          <w:szCs w:val="21"/>
        </w:rPr>
        <w:t xml:space="preserve">delle piattaforme digitali </w:t>
      </w:r>
      <w:r w:rsidR="00AA6C68" w:rsidRPr="00830B9D">
        <w:rPr>
          <w:rFonts w:ascii="Verdana" w:hAnsi="Verdana"/>
          <w:sz w:val="21"/>
          <w:szCs w:val="21"/>
        </w:rPr>
        <w:t>attivati dal 1/1/2024, secondo quanto previsto dal nuovo Codice degli Appalti</w:t>
      </w:r>
      <w:r w:rsidR="00CC1E98" w:rsidRPr="00830B9D">
        <w:rPr>
          <w:rFonts w:ascii="Verdana" w:hAnsi="Verdana"/>
          <w:sz w:val="21"/>
          <w:szCs w:val="21"/>
        </w:rPr>
        <w:t xml:space="preserve">, </w:t>
      </w:r>
      <w:r w:rsidR="00195A94" w:rsidRPr="00830B9D">
        <w:rPr>
          <w:rFonts w:ascii="Verdana" w:hAnsi="Verdana"/>
          <w:sz w:val="21"/>
          <w:szCs w:val="21"/>
        </w:rPr>
        <w:t>nel corso del 202</w:t>
      </w:r>
      <w:r w:rsidR="00830B9D" w:rsidRPr="00830B9D">
        <w:rPr>
          <w:rFonts w:ascii="Verdana" w:hAnsi="Verdana"/>
          <w:sz w:val="21"/>
          <w:szCs w:val="21"/>
        </w:rPr>
        <w:t>6</w:t>
      </w:r>
      <w:r w:rsidR="00195A94" w:rsidRPr="00830B9D">
        <w:rPr>
          <w:rFonts w:ascii="Verdana" w:hAnsi="Verdana"/>
          <w:sz w:val="21"/>
          <w:szCs w:val="21"/>
        </w:rPr>
        <w:t xml:space="preserve"> </w:t>
      </w:r>
      <w:r w:rsidR="00D90E33" w:rsidRPr="00830B9D">
        <w:rPr>
          <w:rFonts w:ascii="Verdana" w:hAnsi="Verdana"/>
          <w:sz w:val="21"/>
          <w:szCs w:val="21"/>
        </w:rPr>
        <w:t xml:space="preserve">MRI </w:t>
      </w:r>
      <w:r w:rsidR="00586D16" w:rsidRPr="00830B9D">
        <w:rPr>
          <w:rFonts w:ascii="Verdana" w:hAnsi="Verdana"/>
          <w:sz w:val="21"/>
          <w:szCs w:val="21"/>
        </w:rPr>
        <w:t>proseguirà</w:t>
      </w:r>
      <w:r w:rsidR="00E55E0C" w:rsidRPr="00830B9D">
        <w:rPr>
          <w:rFonts w:ascii="Verdana" w:hAnsi="Verdana"/>
          <w:sz w:val="21"/>
          <w:szCs w:val="21"/>
        </w:rPr>
        <w:t xml:space="preserve"> </w:t>
      </w:r>
      <w:r w:rsidR="00D90E33" w:rsidRPr="00830B9D">
        <w:rPr>
          <w:rFonts w:ascii="Verdana" w:hAnsi="Verdana"/>
          <w:sz w:val="21"/>
          <w:szCs w:val="21"/>
        </w:rPr>
        <w:t>quindi all’</w:t>
      </w:r>
      <w:r w:rsidR="00586D16" w:rsidRPr="00830B9D">
        <w:rPr>
          <w:rFonts w:ascii="Verdana" w:hAnsi="Verdana"/>
          <w:sz w:val="21"/>
          <w:szCs w:val="21"/>
        </w:rPr>
        <w:t>adeguamento delle pubblicazion</w:t>
      </w:r>
      <w:r w:rsidR="001969BF" w:rsidRPr="00830B9D">
        <w:rPr>
          <w:rFonts w:ascii="Verdana" w:hAnsi="Verdana"/>
          <w:sz w:val="21"/>
          <w:szCs w:val="21"/>
        </w:rPr>
        <w:t xml:space="preserve">i </w:t>
      </w:r>
      <w:r w:rsidR="00586D16" w:rsidRPr="00830B9D">
        <w:rPr>
          <w:rFonts w:ascii="Verdana" w:hAnsi="Verdana"/>
          <w:sz w:val="21"/>
          <w:szCs w:val="21"/>
        </w:rPr>
        <w:t xml:space="preserve">affinché le prescrizioni in materia di trasparenza dei contratti pubblici possano essere completamente assolte. </w:t>
      </w:r>
    </w:p>
    <w:p w14:paraId="025AD5E1" w14:textId="77777777" w:rsidR="00586D16" w:rsidRPr="00830B9D" w:rsidRDefault="001969BF" w:rsidP="00BD35F8">
      <w:pPr>
        <w:shd w:val="clear" w:color="auto" w:fill="FFFFFF"/>
        <w:spacing w:after="72" w:line="240" w:lineRule="auto"/>
        <w:contextualSpacing/>
        <w:jc w:val="both"/>
        <w:rPr>
          <w:rFonts w:ascii="Verdana" w:hAnsi="Verdana"/>
          <w:sz w:val="21"/>
          <w:szCs w:val="21"/>
        </w:rPr>
      </w:pPr>
      <w:r w:rsidRPr="00830B9D">
        <w:rPr>
          <w:rFonts w:ascii="Verdana" w:hAnsi="Verdana"/>
          <w:sz w:val="21"/>
          <w:szCs w:val="21"/>
        </w:rPr>
        <w:t>Dal 2024 gli obblighi di trasparenza di bandi di gare e contratti prevedono infatti che</w:t>
      </w:r>
      <w:r w:rsidR="00136DA9" w:rsidRPr="00830B9D">
        <w:rPr>
          <w:rFonts w:ascii="Verdana" w:hAnsi="Verdana"/>
          <w:sz w:val="21"/>
          <w:szCs w:val="21"/>
        </w:rPr>
        <w:t>:</w:t>
      </w:r>
      <w:r w:rsidRPr="00830B9D">
        <w:rPr>
          <w:rFonts w:ascii="Verdana" w:hAnsi="Verdana"/>
          <w:sz w:val="21"/>
          <w:szCs w:val="21"/>
        </w:rPr>
        <w:t xml:space="preserve"> per ogni CIG venga pubblicato il collegamento ipertestuale univoco che rinvii ai dati relativi al ciclo di vita del contratto presenti nella Banca Dati Nazionale di Contratti Pubblici (BDNCP);</w:t>
      </w:r>
      <w:r w:rsidR="00136DA9" w:rsidRPr="00830B9D">
        <w:rPr>
          <w:rFonts w:ascii="Verdana" w:hAnsi="Verdana"/>
          <w:sz w:val="21"/>
          <w:szCs w:val="21"/>
        </w:rPr>
        <w:t xml:space="preserve"> </w:t>
      </w:r>
      <w:r w:rsidRPr="00830B9D">
        <w:rPr>
          <w:rFonts w:ascii="Verdana" w:hAnsi="Verdana"/>
          <w:sz w:val="21"/>
          <w:szCs w:val="21"/>
        </w:rPr>
        <w:t>gli atti, le informazioni e i documenti non soggetti alla comunicazione alla BDNCP vengano integralmente pubblicati</w:t>
      </w:r>
      <w:r w:rsidR="00136DA9" w:rsidRPr="00830B9D">
        <w:rPr>
          <w:rFonts w:ascii="Verdana" w:hAnsi="Verdana"/>
          <w:sz w:val="21"/>
          <w:szCs w:val="21"/>
        </w:rPr>
        <w:t xml:space="preserve">; </w:t>
      </w:r>
      <w:r w:rsidRPr="00830B9D">
        <w:rPr>
          <w:rFonts w:ascii="Verdana" w:hAnsi="Verdana"/>
          <w:sz w:val="21"/>
          <w:szCs w:val="21"/>
        </w:rPr>
        <w:t xml:space="preserve">i dati relativi a gare e affidamenti precedentemente pubblicati tramite file xml </w:t>
      </w:r>
      <w:r w:rsidR="00E55E0C" w:rsidRPr="00830B9D">
        <w:rPr>
          <w:rFonts w:ascii="Verdana" w:hAnsi="Verdana"/>
          <w:sz w:val="21"/>
          <w:szCs w:val="21"/>
        </w:rPr>
        <w:t>e</w:t>
      </w:r>
      <w:r w:rsidRPr="00830B9D">
        <w:rPr>
          <w:rFonts w:ascii="Verdana" w:hAnsi="Verdana"/>
          <w:sz w:val="21"/>
          <w:szCs w:val="21"/>
        </w:rPr>
        <w:t xml:space="preserve"> invio pec ad ANAC (ex art. 1, co.32, L. 190/2012, ora abrogato) siano inviati alla BDNCP tramite piattaforma di approvvigionamento digitale certificata.</w:t>
      </w:r>
    </w:p>
    <w:p w14:paraId="71CBCB16" w14:textId="77777777" w:rsidR="004565F0" w:rsidRPr="00DE493F" w:rsidRDefault="004565F0" w:rsidP="00AA6C68">
      <w:pPr>
        <w:shd w:val="clear" w:color="auto" w:fill="FFFFFF"/>
        <w:spacing w:after="72" w:line="240" w:lineRule="auto"/>
        <w:contextualSpacing/>
        <w:jc w:val="both"/>
        <w:rPr>
          <w:rFonts w:ascii="Verdana" w:hAnsi="Verdana"/>
          <w:sz w:val="21"/>
          <w:szCs w:val="21"/>
          <w:highlight w:val="lightGray"/>
        </w:rPr>
      </w:pPr>
    </w:p>
    <w:p w14:paraId="323B0D99" w14:textId="0A55F3FB" w:rsidR="009E624F" w:rsidRPr="00864515" w:rsidRDefault="009E624F" w:rsidP="00AA6C68">
      <w:pPr>
        <w:shd w:val="clear" w:color="auto" w:fill="FFFFFF"/>
        <w:spacing w:after="72" w:line="240" w:lineRule="auto"/>
        <w:contextualSpacing/>
        <w:jc w:val="both"/>
        <w:rPr>
          <w:rFonts w:ascii="Verdana" w:hAnsi="Verdana"/>
          <w:color w:val="EE0000"/>
          <w:sz w:val="21"/>
          <w:szCs w:val="21"/>
        </w:rPr>
      </w:pPr>
      <w:r w:rsidRPr="00C04109">
        <w:rPr>
          <w:rFonts w:ascii="Verdana" w:hAnsi="Verdana"/>
          <w:sz w:val="21"/>
          <w:szCs w:val="21"/>
        </w:rPr>
        <w:t>C</w:t>
      </w:r>
      <w:r w:rsidR="00EB3354" w:rsidRPr="00C04109">
        <w:rPr>
          <w:rFonts w:ascii="Verdana" w:hAnsi="Verdana"/>
          <w:sz w:val="21"/>
          <w:szCs w:val="21"/>
        </w:rPr>
        <w:t xml:space="preserve">on l’intento di </w:t>
      </w:r>
      <w:r w:rsidRPr="00C04109">
        <w:rPr>
          <w:rFonts w:ascii="Verdana" w:hAnsi="Verdana"/>
          <w:sz w:val="21"/>
          <w:szCs w:val="21"/>
        </w:rPr>
        <w:t xml:space="preserve">consentire un più agevole ed omogeneo popolamento della sezione Società Trasparente e in conformità ai requisiti di qualità delle informazioni, ANAC, con Delibera n. 495 del 25 settembre 2024, ha approvato </w:t>
      </w:r>
      <w:r w:rsidR="00A9761B" w:rsidRPr="00C04109">
        <w:rPr>
          <w:rFonts w:ascii="Verdana" w:hAnsi="Verdana"/>
          <w:sz w:val="21"/>
          <w:szCs w:val="21"/>
        </w:rPr>
        <w:t xml:space="preserve">3 schemi di pubblicazione (utilizzo delle risorse pubbliche, organizzazione, controlli su attività e organizzazione) concedendo un periodo transitorio di dodici </w:t>
      </w:r>
      <w:r w:rsidR="00A9761B" w:rsidRPr="002D1C50">
        <w:rPr>
          <w:rFonts w:ascii="Verdana" w:hAnsi="Verdana"/>
          <w:sz w:val="21"/>
          <w:szCs w:val="21"/>
        </w:rPr>
        <w:t xml:space="preserve">mesi </w:t>
      </w:r>
      <w:r w:rsidR="009368EF" w:rsidRPr="002D1C50">
        <w:rPr>
          <w:rFonts w:ascii="Verdana" w:hAnsi="Verdana"/>
          <w:sz w:val="21"/>
          <w:szCs w:val="21"/>
        </w:rPr>
        <w:t>che scade</w:t>
      </w:r>
      <w:r w:rsidR="00864515" w:rsidRPr="002D1C50">
        <w:rPr>
          <w:rFonts w:ascii="Verdana" w:hAnsi="Verdana"/>
          <w:sz w:val="21"/>
          <w:szCs w:val="21"/>
        </w:rPr>
        <w:t xml:space="preserve"> a gennaio 2026 </w:t>
      </w:r>
      <w:r w:rsidR="00A9761B" w:rsidRPr="00C04109">
        <w:rPr>
          <w:rFonts w:ascii="Verdana" w:hAnsi="Verdana"/>
          <w:sz w:val="21"/>
          <w:szCs w:val="21"/>
        </w:rPr>
        <w:t xml:space="preserve">per aggiornare la propria pagina di Società Trasparente ai suddetti </w:t>
      </w:r>
      <w:r w:rsidR="00A9761B" w:rsidRPr="002D1C50">
        <w:rPr>
          <w:rFonts w:ascii="Verdana" w:hAnsi="Verdana"/>
          <w:sz w:val="21"/>
          <w:szCs w:val="21"/>
        </w:rPr>
        <w:t>schemi</w:t>
      </w:r>
      <w:r w:rsidR="00864515" w:rsidRPr="002D1C50">
        <w:rPr>
          <w:rFonts w:ascii="Verdana" w:hAnsi="Verdana"/>
          <w:sz w:val="21"/>
          <w:szCs w:val="21"/>
        </w:rPr>
        <w:t xml:space="preserve"> (MRI ha provveduto a conformarsi da </w:t>
      </w:r>
      <w:r w:rsidR="0050417F" w:rsidRPr="002D1C50">
        <w:rPr>
          <w:rFonts w:ascii="Verdana" w:hAnsi="Verdana"/>
          <w:sz w:val="21"/>
          <w:szCs w:val="21"/>
        </w:rPr>
        <w:t>ottobre</w:t>
      </w:r>
      <w:r w:rsidR="00864515" w:rsidRPr="002D1C50">
        <w:rPr>
          <w:rFonts w:ascii="Verdana" w:hAnsi="Verdana"/>
          <w:sz w:val="21"/>
          <w:szCs w:val="21"/>
        </w:rPr>
        <w:t xml:space="preserve"> 2025)</w:t>
      </w:r>
      <w:r w:rsidR="00ED1447" w:rsidRPr="002D1C50">
        <w:rPr>
          <w:rFonts w:ascii="Verdana" w:hAnsi="Verdana"/>
          <w:sz w:val="21"/>
          <w:szCs w:val="21"/>
        </w:rPr>
        <w:t xml:space="preserve">. </w:t>
      </w:r>
      <w:r w:rsidR="00ED1447" w:rsidRPr="00C04109">
        <w:rPr>
          <w:rFonts w:ascii="Verdana" w:hAnsi="Verdana"/>
          <w:sz w:val="21"/>
          <w:szCs w:val="21"/>
        </w:rPr>
        <w:t>Nella medesima delibera</w:t>
      </w:r>
      <w:r w:rsidR="00A9761B" w:rsidRPr="00C04109">
        <w:rPr>
          <w:rFonts w:ascii="Verdana" w:hAnsi="Verdana"/>
          <w:sz w:val="21"/>
          <w:szCs w:val="21"/>
        </w:rPr>
        <w:t xml:space="preserve"> ha</w:t>
      </w:r>
      <w:r w:rsidR="00ED1447" w:rsidRPr="00C04109">
        <w:rPr>
          <w:rFonts w:ascii="Verdana" w:hAnsi="Verdana"/>
          <w:sz w:val="21"/>
          <w:szCs w:val="21"/>
        </w:rPr>
        <w:t xml:space="preserve"> inoltre</w:t>
      </w:r>
      <w:r w:rsidR="00A9761B" w:rsidRPr="00C04109">
        <w:rPr>
          <w:rFonts w:ascii="Verdana" w:hAnsi="Verdana"/>
          <w:sz w:val="21"/>
          <w:szCs w:val="21"/>
        </w:rPr>
        <w:t xml:space="preserve"> approvato il documento “</w:t>
      </w:r>
      <w:r w:rsidR="00A9761B" w:rsidRPr="00C04109">
        <w:rPr>
          <w:rFonts w:ascii="Verdana" w:hAnsi="Verdana"/>
          <w:i/>
          <w:iCs/>
          <w:sz w:val="21"/>
          <w:szCs w:val="21"/>
        </w:rPr>
        <w:t>Istruzioni operative per una corretta attuazione degli obblighi di pubblicazione ex d.lgs. 33/2013</w:t>
      </w:r>
      <w:r w:rsidR="00A9761B" w:rsidRPr="00C04109">
        <w:rPr>
          <w:rFonts w:ascii="Verdana" w:hAnsi="Verdana"/>
          <w:sz w:val="21"/>
          <w:szCs w:val="21"/>
        </w:rPr>
        <w:t xml:space="preserve">” contenente </w:t>
      </w:r>
      <w:r w:rsidR="008121EC" w:rsidRPr="00C04109">
        <w:rPr>
          <w:rFonts w:ascii="Verdana" w:hAnsi="Verdana"/>
          <w:sz w:val="21"/>
          <w:szCs w:val="21"/>
        </w:rPr>
        <w:t>raccomandazioni</w:t>
      </w:r>
      <w:r w:rsidR="00A9761B" w:rsidRPr="00C04109">
        <w:rPr>
          <w:rFonts w:ascii="Verdana" w:hAnsi="Verdana"/>
          <w:sz w:val="21"/>
          <w:szCs w:val="21"/>
        </w:rPr>
        <w:t xml:space="preserve"> utili per la pubblicazione su requisiti di qualità dei dati, procedure di validazione, controlli anche sostitutivi e meccanismi di garanzia attivabili su richiesta di chiunque vi abbia interesse. </w:t>
      </w:r>
      <w:r w:rsidR="003C2EE7" w:rsidRPr="00C04109">
        <w:rPr>
          <w:rFonts w:ascii="Verdana" w:hAnsi="Verdana"/>
          <w:sz w:val="21"/>
          <w:szCs w:val="21"/>
        </w:rPr>
        <w:t>Nel 2025 ANAC ha approvato la Delibera n. 481 del 3 dicembre con cui sono state apportate modifiche agli schemi di pubblicazione (schema di utilizzo delle risorse pubbliche e schema dei controlli su organizzazione) di cui alla citata Delibera n. 495 e integrazioni al documento d</w:t>
      </w:r>
      <w:r w:rsidR="00653F8D" w:rsidRPr="00C04109">
        <w:rPr>
          <w:rFonts w:ascii="Verdana" w:hAnsi="Verdana"/>
          <w:sz w:val="21"/>
          <w:szCs w:val="21"/>
        </w:rPr>
        <w:t>i</w:t>
      </w:r>
      <w:r w:rsidR="003C2EE7" w:rsidRPr="00C04109">
        <w:rPr>
          <w:rFonts w:ascii="Verdana" w:hAnsi="Verdana"/>
          <w:sz w:val="21"/>
          <w:szCs w:val="21"/>
        </w:rPr>
        <w:t xml:space="preserve"> Istruzioni Operative</w:t>
      </w:r>
      <w:r w:rsidR="00316202" w:rsidRPr="00C04109">
        <w:rPr>
          <w:rFonts w:ascii="Verdana" w:hAnsi="Verdana"/>
          <w:sz w:val="21"/>
          <w:szCs w:val="21"/>
        </w:rPr>
        <w:t>.</w:t>
      </w:r>
    </w:p>
    <w:p w14:paraId="4F08D4A3" w14:textId="77777777" w:rsidR="00653F8D" w:rsidRPr="00C04109" w:rsidRDefault="00653F8D" w:rsidP="00AA6C68">
      <w:pPr>
        <w:shd w:val="clear" w:color="auto" w:fill="FFFFFF"/>
        <w:spacing w:after="72" w:line="240" w:lineRule="auto"/>
        <w:contextualSpacing/>
        <w:jc w:val="both"/>
        <w:rPr>
          <w:rFonts w:ascii="Verdana" w:hAnsi="Verdana"/>
          <w:sz w:val="21"/>
          <w:szCs w:val="21"/>
        </w:rPr>
      </w:pPr>
    </w:p>
    <w:p w14:paraId="419B66F8" w14:textId="7FAC8EEC" w:rsidR="00653F8D" w:rsidRPr="006E3157" w:rsidRDefault="00653F8D" w:rsidP="00AA6C68">
      <w:pPr>
        <w:shd w:val="clear" w:color="auto" w:fill="FFFFFF"/>
        <w:spacing w:after="72" w:line="240" w:lineRule="auto"/>
        <w:contextualSpacing/>
        <w:jc w:val="both"/>
        <w:rPr>
          <w:rFonts w:ascii="Verdana" w:hAnsi="Verdana"/>
          <w:sz w:val="21"/>
          <w:szCs w:val="21"/>
        </w:rPr>
      </w:pPr>
      <w:r w:rsidRPr="00C04109">
        <w:rPr>
          <w:rFonts w:ascii="Verdana" w:hAnsi="Verdana"/>
          <w:sz w:val="21"/>
          <w:szCs w:val="21"/>
        </w:rPr>
        <w:t xml:space="preserve">ANAC ha approvato altresì </w:t>
      </w:r>
      <w:r w:rsidR="0076284E" w:rsidRPr="00C04109">
        <w:rPr>
          <w:rFonts w:ascii="Verdana" w:hAnsi="Verdana"/>
          <w:sz w:val="21"/>
          <w:szCs w:val="21"/>
        </w:rPr>
        <w:t>(con Delibera n. 497 del 3 dicembre 2025)</w:t>
      </w:r>
      <w:r w:rsidR="00C04109">
        <w:rPr>
          <w:rFonts w:ascii="Verdana" w:hAnsi="Verdana"/>
          <w:sz w:val="21"/>
          <w:szCs w:val="21"/>
        </w:rPr>
        <w:t xml:space="preserve"> </w:t>
      </w:r>
      <w:r w:rsidR="0076284E" w:rsidRPr="00C04109">
        <w:rPr>
          <w:rFonts w:ascii="Verdana" w:hAnsi="Verdana"/>
          <w:sz w:val="21"/>
          <w:szCs w:val="21"/>
        </w:rPr>
        <w:t>cinque schemi di pubblicazione ai sensi dell’art. 48 del D.</w:t>
      </w:r>
      <w:r w:rsidR="00417DA0">
        <w:rPr>
          <w:rFonts w:ascii="Verdana" w:hAnsi="Verdana"/>
          <w:sz w:val="21"/>
          <w:szCs w:val="21"/>
        </w:rPr>
        <w:t xml:space="preserve"> </w:t>
      </w:r>
      <w:r w:rsidR="0076284E" w:rsidRPr="00C04109">
        <w:rPr>
          <w:rFonts w:ascii="Verdana" w:hAnsi="Verdana"/>
          <w:sz w:val="21"/>
          <w:szCs w:val="21"/>
        </w:rPr>
        <w:t>Lgs. 33/2013</w:t>
      </w:r>
      <w:r w:rsidR="00C04109" w:rsidRPr="00C04109">
        <w:rPr>
          <w:rFonts w:ascii="Verdana" w:hAnsi="Verdana"/>
          <w:sz w:val="21"/>
          <w:szCs w:val="21"/>
        </w:rPr>
        <w:t>,</w:t>
      </w:r>
      <w:r w:rsidR="0076284E" w:rsidRPr="00C04109">
        <w:rPr>
          <w:rFonts w:ascii="Verdana" w:hAnsi="Verdana"/>
          <w:sz w:val="21"/>
          <w:szCs w:val="21"/>
        </w:rPr>
        <w:t xml:space="preserve"> concedendo</w:t>
      </w:r>
      <w:r w:rsidR="00C04109" w:rsidRPr="00C04109">
        <w:rPr>
          <w:rFonts w:ascii="Verdana" w:hAnsi="Verdana"/>
          <w:sz w:val="21"/>
          <w:szCs w:val="21"/>
        </w:rPr>
        <w:t xml:space="preserve"> un periodo transitorio di dodici mesi per aggiornare la propria pagina di Società </w:t>
      </w:r>
      <w:r w:rsidR="00C04109" w:rsidRPr="006E3157">
        <w:rPr>
          <w:rFonts w:ascii="Verdana" w:hAnsi="Verdana"/>
          <w:sz w:val="21"/>
          <w:szCs w:val="21"/>
        </w:rPr>
        <w:t>Trasparente.</w:t>
      </w:r>
      <w:r w:rsidR="000B32EB" w:rsidRPr="006E3157">
        <w:rPr>
          <w:rFonts w:ascii="Verdana" w:hAnsi="Verdana"/>
          <w:sz w:val="21"/>
          <w:szCs w:val="21"/>
        </w:rPr>
        <w:t xml:space="preserve"> Il PNA 2025 ha introdotto una parte speciale sulla Trasparenza, basata sull’Analisi effettuata da ANAC sulle criticità riscontrate analizzando la Sezione Amministrazione Trasparente – ed ha inserito una serie di azioni finalizzate </w:t>
      </w:r>
      <w:r w:rsidR="00F34854" w:rsidRPr="006E3157">
        <w:rPr>
          <w:rFonts w:ascii="Verdana" w:hAnsi="Verdana"/>
          <w:sz w:val="21"/>
          <w:szCs w:val="21"/>
        </w:rPr>
        <w:t>ad aumentare i</w:t>
      </w:r>
      <w:r w:rsidR="000B32EB" w:rsidRPr="006E3157">
        <w:rPr>
          <w:rFonts w:ascii="Verdana" w:hAnsi="Verdana"/>
          <w:sz w:val="21"/>
          <w:szCs w:val="21"/>
        </w:rPr>
        <w:t xml:space="preserve"> livelli di trasparenza ed accessibilità delle informazioni pubblicate nelle sezioni “Amministrazione Trasparente”.</w:t>
      </w:r>
    </w:p>
    <w:p w14:paraId="1E8561B4" w14:textId="77777777" w:rsidR="00195A94" w:rsidRPr="006E3157" w:rsidRDefault="00195A94" w:rsidP="00AA6C68">
      <w:pPr>
        <w:shd w:val="clear" w:color="auto" w:fill="FFFFFF"/>
        <w:spacing w:after="72" w:line="240" w:lineRule="auto"/>
        <w:contextualSpacing/>
        <w:jc w:val="both"/>
        <w:rPr>
          <w:rFonts w:ascii="Verdana" w:hAnsi="Verdana"/>
          <w:sz w:val="21"/>
          <w:szCs w:val="21"/>
        </w:rPr>
      </w:pPr>
    </w:p>
    <w:p w14:paraId="7E01F5ED" w14:textId="57A00A9C" w:rsidR="00B31D7E" w:rsidRPr="00ED1447" w:rsidRDefault="00567473" w:rsidP="00567473">
      <w:pPr>
        <w:spacing w:after="30" w:line="240" w:lineRule="auto"/>
        <w:jc w:val="both"/>
        <w:rPr>
          <w:rFonts w:ascii="Verdana" w:hAnsi="Verdana"/>
          <w:sz w:val="21"/>
          <w:szCs w:val="21"/>
          <w:lang w:eastAsia="it-IT"/>
        </w:rPr>
      </w:pPr>
      <w:r w:rsidRPr="006E3157">
        <w:rPr>
          <w:rFonts w:ascii="Verdana" w:hAnsi="Verdana"/>
          <w:sz w:val="21"/>
          <w:szCs w:val="21"/>
          <w:lang w:eastAsia="it-IT"/>
        </w:rPr>
        <w:t>Il 202</w:t>
      </w:r>
      <w:r w:rsidR="00C04109" w:rsidRPr="006E3157">
        <w:rPr>
          <w:rFonts w:ascii="Verdana" w:hAnsi="Verdana"/>
          <w:sz w:val="21"/>
          <w:szCs w:val="21"/>
          <w:lang w:eastAsia="it-IT"/>
        </w:rPr>
        <w:t>6</w:t>
      </w:r>
      <w:r w:rsidRPr="006E3157">
        <w:rPr>
          <w:rFonts w:ascii="Verdana" w:hAnsi="Verdana"/>
          <w:sz w:val="21"/>
          <w:szCs w:val="21"/>
          <w:lang w:eastAsia="it-IT"/>
        </w:rPr>
        <w:t xml:space="preserve"> vedrà </w:t>
      </w:r>
      <w:r w:rsidR="004C60BE" w:rsidRPr="006E3157">
        <w:rPr>
          <w:rFonts w:ascii="Verdana" w:hAnsi="Verdana"/>
          <w:sz w:val="21"/>
          <w:szCs w:val="21"/>
          <w:lang w:eastAsia="it-IT"/>
        </w:rPr>
        <w:t xml:space="preserve">quindi </w:t>
      </w:r>
      <w:r w:rsidRPr="006E3157">
        <w:rPr>
          <w:rFonts w:ascii="Verdana" w:hAnsi="Verdana"/>
          <w:sz w:val="21"/>
          <w:szCs w:val="21"/>
          <w:lang w:eastAsia="it-IT"/>
        </w:rPr>
        <w:t>Montecatone R.I. S.p.A. impegnata nella predisposizione, pubblicazione e aggiornamento continuo dei dati con l’obiettivo di soddisfare il disposto normativo, cercando di dare evidenza di ogni processo logico che ne sostenga la corretta interpretazione, garantendo contestualmente la cancellazione dei dati</w:t>
      </w:r>
      <w:r w:rsidR="00B31D7E" w:rsidRPr="006E3157">
        <w:rPr>
          <w:rFonts w:ascii="Verdana" w:hAnsi="Verdana"/>
          <w:sz w:val="21"/>
          <w:szCs w:val="21"/>
          <w:lang w:eastAsia="it-IT"/>
        </w:rPr>
        <w:t xml:space="preserve"> secondo le tempistiche indicate</w:t>
      </w:r>
      <w:r w:rsidRPr="006E3157">
        <w:rPr>
          <w:rFonts w:ascii="Verdana" w:hAnsi="Verdana"/>
          <w:sz w:val="21"/>
          <w:szCs w:val="21"/>
          <w:lang w:eastAsia="it-IT"/>
        </w:rPr>
        <w:t>, specificatamente quelli personali relativi ad atti la cui efficacia è cessata</w:t>
      </w:r>
      <w:r w:rsidR="001002DF" w:rsidRPr="006E3157">
        <w:rPr>
          <w:rFonts w:ascii="Verdana" w:hAnsi="Verdana"/>
          <w:sz w:val="21"/>
          <w:szCs w:val="21"/>
        </w:rPr>
        <w:t>, anche in considerazione della fase di avvio del nuovo sito istituzionale previsto a marzo 2026</w:t>
      </w:r>
      <w:r w:rsidR="00B31D7E" w:rsidRPr="006E3157">
        <w:rPr>
          <w:rFonts w:ascii="Verdana" w:hAnsi="Verdana"/>
          <w:sz w:val="21"/>
          <w:szCs w:val="21"/>
          <w:lang w:eastAsia="it-IT"/>
        </w:rPr>
        <w:t>.</w:t>
      </w:r>
      <w:r w:rsidR="00B31D7E" w:rsidRPr="00ED1447">
        <w:rPr>
          <w:rFonts w:ascii="Verdana" w:hAnsi="Verdana"/>
          <w:sz w:val="21"/>
          <w:szCs w:val="21"/>
          <w:lang w:eastAsia="it-IT"/>
        </w:rPr>
        <w:t xml:space="preserve"> </w:t>
      </w:r>
    </w:p>
    <w:p w14:paraId="2C448680" w14:textId="77777777" w:rsidR="00004CC7" w:rsidRPr="00004CC7" w:rsidRDefault="00004CC7" w:rsidP="00004CC7">
      <w:pPr>
        <w:spacing w:after="30" w:line="240" w:lineRule="auto"/>
        <w:jc w:val="both"/>
        <w:rPr>
          <w:rFonts w:ascii="Verdana" w:hAnsi="Verdana"/>
          <w:sz w:val="21"/>
          <w:szCs w:val="21"/>
          <w:lang w:eastAsia="it-IT"/>
        </w:rPr>
      </w:pPr>
    </w:p>
    <w:p w14:paraId="5BE8AAA6" w14:textId="77777777" w:rsidR="00075A89" w:rsidRPr="00186C31" w:rsidRDefault="00004CC7" w:rsidP="00EB3354">
      <w:pPr>
        <w:spacing w:after="30" w:line="240" w:lineRule="auto"/>
        <w:jc w:val="both"/>
        <w:rPr>
          <w:rFonts w:ascii="Verdana" w:hAnsi="Verdana"/>
          <w:color w:val="00B050"/>
          <w:sz w:val="21"/>
          <w:szCs w:val="21"/>
        </w:rPr>
      </w:pPr>
      <w:r w:rsidRPr="00004CC7">
        <w:rPr>
          <w:rFonts w:ascii="Verdana" w:hAnsi="Verdana"/>
          <w:sz w:val="21"/>
          <w:szCs w:val="21"/>
          <w:lang w:eastAsia="it-IT"/>
        </w:rPr>
        <w:t xml:space="preserve"> </w:t>
      </w:r>
    </w:p>
    <w:p w14:paraId="07E78D75" w14:textId="77777777" w:rsidR="00DC28D5" w:rsidRDefault="006026DF" w:rsidP="003A3639">
      <w:pPr>
        <w:pStyle w:val="Titolo2"/>
        <w:spacing w:afterLines="72" w:after="172"/>
        <w:rPr>
          <w:rFonts w:cs="Times New Roman"/>
          <w:szCs w:val="24"/>
        </w:rPr>
      </w:pPr>
      <w:bookmarkStart w:id="33" w:name="_Toc225863550"/>
      <w:r w:rsidRPr="0009315F">
        <w:rPr>
          <w:rFonts w:cs="Times New Roman"/>
          <w:szCs w:val="24"/>
        </w:rPr>
        <w:t>M.1 RESPONSABILI DELLA INDIVIDUAZIONE E/O ELABORAZIONE DEI DATI, DELLA TRASMISSIONE E DELLA PUBBLICAZIONE</w:t>
      </w:r>
      <w:bookmarkEnd w:id="33"/>
    </w:p>
    <w:p w14:paraId="592A6B3D" w14:textId="5D1E4C93" w:rsidR="00DC28D5" w:rsidRPr="009B2766" w:rsidRDefault="00A75FB3" w:rsidP="003A3639">
      <w:pPr>
        <w:shd w:val="clear" w:color="auto" w:fill="FFFFFF"/>
        <w:spacing w:afterLines="72" w:after="172" w:line="240" w:lineRule="auto"/>
        <w:contextualSpacing/>
        <w:jc w:val="both"/>
        <w:rPr>
          <w:rFonts w:ascii="Verdana" w:hAnsi="Verdana"/>
          <w:sz w:val="21"/>
          <w:szCs w:val="21"/>
        </w:rPr>
      </w:pPr>
      <w:r>
        <w:rPr>
          <w:rFonts w:ascii="Verdana" w:hAnsi="Verdana"/>
          <w:sz w:val="21"/>
          <w:szCs w:val="21"/>
          <w:lang w:eastAsia="it-IT"/>
        </w:rPr>
        <w:t xml:space="preserve">Dal </w:t>
      </w:r>
      <w:r w:rsidR="00DC28D5" w:rsidRPr="009B2766">
        <w:rPr>
          <w:rFonts w:ascii="Verdana" w:hAnsi="Verdana"/>
          <w:sz w:val="21"/>
          <w:szCs w:val="21"/>
          <w:lang w:eastAsia="it-IT"/>
        </w:rPr>
        <w:t>2017</w:t>
      </w:r>
      <w:r>
        <w:rPr>
          <w:rFonts w:ascii="Verdana" w:hAnsi="Verdana"/>
          <w:sz w:val="21"/>
          <w:szCs w:val="21"/>
          <w:lang w:eastAsia="it-IT"/>
        </w:rPr>
        <w:t>, in</w:t>
      </w:r>
      <w:r w:rsidR="00DC28D5" w:rsidRPr="009B2766">
        <w:rPr>
          <w:rFonts w:ascii="Verdana" w:hAnsi="Verdana"/>
          <w:sz w:val="21"/>
          <w:szCs w:val="21"/>
          <w:lang w:eastAsia="it-IT"/>
        </w:rPr>
        <w:t xml:space="preserve"> attuazione del PTPCT 2017, alla luce delle disposizioni recate dal D. Lgs. 97/2016 e dunque dal PNA 2016, MRI ha individuato</w:t>
      </w:r>
      <w:r w:rsidR="00DC28D5" w:rsidRPr="009B2766">
        <w:rPr>
          <w:rFonts w:ascii="Verdana" w:hAnsi="Verdana"/>
          <w:color w:val="00B0F0"/>
          <w:sz w:val="21"/>
          <w:szCs w:val="21"/>
          <w:lang w:eastAsia="it-IT"/>
        </w:rPr>
        <w:t xml:space="preserve"> </w:t>
      </w:r>
      <w:r w:rsidR="00DC28D5" w:rsidRPr="009B2766">
        <w:rPr>
          <w:rFonts w:ascii="Verdana" w:hAnsi="Verdana"/>
          <w:sz w:val="21"/>
          <w:szCs w:val="21"/>
          <w:lang w:eastAsia="it-IT"/>
        </w:rPr>
        <w:t>i Responsabili della individuazione e/o produzione dei dati oggetto di pubblicazione.  Essi provvedono direttamente agli adempimenti di trasparenza di cui al presente Piano, indicando ai sensi della relativa disciplina i documenti, le informazioni e i dati destinati ad essere pubblicati sul sito istituzionale della società nella sezione</w:t>
      </w:r>
      <w:r>
        <w:rPr>
          <w:rFonts w:ascii="Verdana" w:hAnsi="Verdana"/>
          <w:sz w:val="21"/>
          <w:szCs w:val="21"/>
          <w:lang w:eastAsia="it-IT"/>
        </w:rPr>
        <w:t xml:space="preserve"> dedicata</w:t>
      </w:r>
      <w:r w:rsidR="00DC28D5" w:rsidRPr="009B2766">
        <w:rPr>
          <w:rFonts w:ascii="Verdana" w:hAnsi="Verdana"/>
          <w:sz w:val="21"/>
          <w:szCs w:val="21"/>
          <w:lang w:eastAsia="it-IT"/>
        </w:rPr>
        <w:t>.</w:t>
      </w:r>
    </w:p>
    <w:p w14:paraId="5F0AEF29" w14:textId="77777777" w:rsidR="00DC28D5" w:rsidRDefault="00DC28D5">
      <w:pPr>
        <w:shd w:val="clear" w:color="auto" w:fill="FFFFFF"/>
        <w:spacing w:after="150" w:line="240" w:lineRule="auto"/>
        <w:contextualSpacing/>
        <w:jc w:val="both"/>
        <w:rPr>
          <w:rFonts w:ascii="Verdana" w:hAnsi="Verdana"/>
          <w:sz w:val="21"/>
          <w:szCs w:val="21"/>
          <w:lang w:eastAsia="it-IT"/>
        </w:rPr>
      </w:pPr>
      <w:r w:rsidRPr="009B2766">
        <w:rPr>
          <w:rFonts w:ascii="Verdana" w:hAnsi="Verdana"/>
          <w:sz w:val="21"/>
          <w:szCs w:val="21"/>
          <w:lang w:eastAsia="it-IT"/>
        </w:rPr>
        <w:t>Coerentemente con quanto disposto all’art. 10, comma 1, del D. Lgs. 33/2013 modificato dal D. Lgs. 97/2016, MRI indica altresì nella tabella allegata al Piano triennale i responsabili della trasmissione e della pubblicazione dei documenti, delle informazioni e dei dati.</w:t>
      </w:r>
    </w:p>
    <w:p w14:paraId="4185E225" w14:textId="77777777" w:rsidR="0000151C" w:rsidRDefault="0000151C" w:rsidP="0000151C">
      <w:pPr>
        <w:shd w:val="clear" w:color="auto" w:fill="FFFFFF"/>
        <w:spacing w:after="150" w:line="240" w:lineRule="auto"/>
        <w:contextualSpacing/>
        <w:jc w:val="both"/>
        <w:rPr>
          <w:rFonts w:ascii="Verdana" w:hAnsi="Verdana"/>
          <w:sz w:val="21"/>
          <w:szCs w:val="21"/>
          <w:lang w:eastAsia="it-IT"/>
        </w:rPr>
      </w:pPr>
      <w:r w:rsidRPr="0000151C">
        <w:rPr>
          <w:rFonts w:ascii="Verdana" w:hAnsi="Verdana"/>
          <w:sz w:val="21"/>
          <w:szCs w:val="21"/>
          <w:lang w:eastAsia="it-IT"/>
        </w:rPr>
        <w:t>I nominativi dei soggetti responsabili della individuazione e/o produzione dei dati</w:t>
      </w:r>
      <w:r w:rsidR="00A60934">
        <w:rPr>
          <w:rFonts w:ascii="Verdana" w:hAnsi="Verdana"/>
          <w:sz w:val="21"/>
          <w:szCs w:val="21"/>
          <w:lang w:eastAsia="it-IT"/>
        </w:rPr>
        <w:t>, della trasmissione e della pubblicazione</w:t>
      </w:r>
      <w:r w:rsidRPr="0000151C">
        <w:rPr>
          <w:rFonts w:ascii="Verdana" w:hAnsi="Verdana"/>
          <w:sz w:val="21"/>
          <w:szCs w:val="21"/>
          <w:lang w:eastAsia="it-IT"/>
        </w:rPr>
        <w:t xml:space="preserve"> indicati nella tabella della Trasparenza sono tempestivamente aggiornati in coerenza dei cambiamenti ed evoluzione degli assetti dei servizi dell’Area Tecnico-Amministrativa.</w:t>
      </w:r>
      <w:r w:rsidRPr="00891B45">
        <w:rPr>
          <w:rFonts w:ascii="Verdana" w:hAnsi="Verdana"/>
          <w:sz w:val="21"/>
          <w:szCs w:val="21"/>
          <w:lang w:eastAsia="it-IT"/>
        </w:rPr>
        <w:t xml:space="preserve"> </w:t>
      </w:r>
    </w:p>
    <w:p w14:paraId="48416EA5" w14:textId="77777777" w:rsidR="000E02F4" w:rsidRDefault="000E02F4" w:rsidP="0000151C">
      <w:pPr>
        <w:shd w:val="clear" w:color="auto" w:fill="FFFFFF"/>
        <w:spacing w:after="150" w:line="240" w:lineRule="auto"/>
        <w:contextualSpacing/>
        <w:jc w:val="both"/>
        <w:rPr>
          <w:rFonts w:ascii="Verdana" w:hAnsi="Verdana"/>
          <w:sz w:val="21"/>
          <w:szCs w:val="21"/>
          <w:lang w:eastAsia="it-IT"/>
        </w:rPr>
      </w:pPr>
    </w:p>
    <w:p w14:paraId="113E9B8B" w14:textId="2A7690F2" w:rsidR="00E664DF" w:rsidRDefault="000E02F4" w:rsidP="0000151C">
      <w:pPr>
        <w:shd w:val="clear" w:color="auto" w:fill="FFFFFF"/>
        <w:spacing w:after="150" w:line="240" w:lineRule="auto"/>
        <w:contextualSpacing/>
        <w:jc w:val="both"/>
        <w:rPr>
          <w:rFonts w:ascii="Verdana" w:hAnsi="Verdana"/>
          <w:sz w:val="21"/>
          <w:szCs w:val="21"/>
          <w:lang w:eastAsia="it-IT"/>
        </w:rPr>
      </w:pPr>
      <w:r w:rsidRPr="00F60479">
        <w:rPr>
          <w:rFonts w:ascii="Verdana" w:hAnsi="Verdana"/>
          <w:sz w:val="21"/>
          <w:szCs w:val="21"/>
          <w:lang w:eastAsia="it-IT"/>
        </w:rPr>
        <w:t>Con la Delibera n. 495 del 25</w:t>
      </w:r>
      <w:r w:rsidR="002139BB">
        <w:rPr>
          <w:rFonts w:ascii="Verdana" w:hAnsi="Verdana"/>
          <w:sz w:val="21"/>
          <w:szCs w:val="21"/>
          <w:lang w:eastAsia="it-IT"/>
        </w:rPr>
        <w:t>.</w:t>
      </w:r>
      <w:r w:rsidRPr="00F60479">
        <w:rPr>
          <w:rFonts w:ascii="Verdana" w:hAnsi="Verdana"/>
          <w:sz w:val="21"/>
          <w:szCs w:val="21"/>
          <w:lang w:eastAsia="it-IT"/>
        </w:rPr>
        <w:t>09</w:t>
      </w:r>
      <w:r w:rsidR="002139BB">
        <w:rPr>
          <w:rFonts w:ascii="Verdana" w:hAnsi="Verdana"/>
          <w:sz w:val="21"/>
          <w:szCs w:val="21"/>
          <w:lang w:eastAsia="it-IT"/>
        </w:rPr>
        <w:t>.</w:t>
      </w:r>
      <w:r w:rsidRPr="00F60479">
        <w:rPr>
          <w:rFonts w:ascii="Verdana" w:hAnsi="Verdana"/>
          <w:sz w:val="21"/>
          <w:szCs w:val="21"/>
          <w:lang w:eastAsia="it-IT"/>
        </w:rPr>
        <w:t>2024 richiamata nel precedente paragrafo</w:t>
      </w:r>
      <w:r w:rsidR="00F60479">
        <w:rPr>
          <w:rFonts w:ascii="Verdana" w:hAnsi="Verdana"/>
          <w:sz w:val="21"/>
          <w:szCs w:val="21"/>
          <w:lang w:eastAsia="it-IT"/>
        </w:rPr>
        <w:t>,</w:t>
      </w:r>
      <w:r w:rsidRPr="00F60479">
        <w:rPr>
          <w:rFonts w:ascii="Verdana" w:hAnsi="Verdana"/>
          <w:sz w:val="21"/>
          <w:szCs w:val="21"/>
          <w:lang w:eastAsia="it-IT"/>
        </w:rPr>
        <w:t xml:space="preserve"> ANAC ha formalizzato una nuova fase del processo di pubblicazione dei dati propedeutica alla loro diffusione, cosiddetta Fase di Validazione definita come “</w:t>
      </w:r>
      <w:r w:rsidRPr="00F60479">
        <w:rPr>
          <w:rFonts w:ascii="Verdana" w:hAnsi="Verdana"/>
          <w:i/>
          <w:iCs/>
          <w:sz w:val="21"/>
          <w:szCs w:val="21"/>
          <w:lang w:eastAsia="it-IT"/>
        </w:rPr>
        <w:t>un processo che assicura la corrispondenza dei dati finali (pubblicati) con una serie di caratteristiche qualitative</w:t>
      </w:r>
      <w:r w:rsidRPr="00F60479">
        <w:rPr>
          <w:rFonts w:ascii="Verdana" w:hAnsi="Verdana"/>
          <w:sz w:val="21"/>
          <w:szCs w:val="21"/>
          <w:lang w:eastAsia="it-IT"/>
        </w:rPr>
        <w:t>” allo scopo di assicurare un certo livello di qualità ai dati</w:t>
      </w:r>
      <w:r w:rsidR="00A2485E" w:rsidRPr="00F60479">
        <w:rPr>
          <w:rFonts w:ascii="Verdana" w:hAnsi="Verdana"/>
          <w:sz w:val="21"/>
          <w:szCs w:val="21"/>
          <w:lang w:eastAsia="it-IT"/>
        </w:rPr>
        <w:t xml:space="preserve"> e alle informazioni (in termini di comprensibilità, conformità, attendibilità)</w:t>
      </w:r>
      <w:r w:rsidRPr="00F60479">
        <w:rPr>
          <w:rFonts w:ascii="Verdana" w:hAnsi="Verdana"/>
          <w:sz w:val="21"/>
          <w:szCs w:val="21"/>
          <w:lang w:eastAsia="it-IT"/>
        </w:rPr>
        <w:t xml:space="preserve"> mediante una sistematica attività di verifica </w:t>
      </w:r>
      <w:r w:rsidR="00A2485E" w:rsidRPr="00F60479">
        <w:rPr>
          <w:rFonts w:ascii="Verdana" w:hAnsi="Verdana"/>
          <w:sz w:val="21"/>
          <w:szCs w:val="21"/>
          <w:lang w:eastAsia="it-IT"/>
        </w:rPr>
        <w:t xml:space="preserve">prima della relativa diffusione da parte di soggetto con adeguate competenze e conoscenze. Nel corso del 2025 detto documento </w:t>
      </w:r>
      <w:r w:rsidR="00DE493F">
        <w:rPr>
          <w:rFonts w:ascii="Verdana" w:hAnsi="Verdana"/>
          <w:sz w:val="21"/>
          <w:szCs w:val="21"/>
          <w:lang w:eastAsia="it-IT"/>
        </w:rPr>
        <w:t>è stato</w:t>
      </w:r>
      <w:r w:rsidR="00A2485E" w:rsidRPr="00F60479">
        <w:rPr>
          <w:rFonts w:ascii="Verdana" w:hAnsi="Verdana"/>
          <w:sz w:val="21"/>
          <w:szCs w:val="21"/>
          <w:lang w:eastAsia="it-IT"/>
        </w:rPr>
        <w:t xml:space="preserve"> oggetto di analisi da parte di MRI per quanto attiene alla modalità di effettiva applicabilità</w:t>
      </w:r>
      <w:r w:rsidR="00E664DF" w:rsidRPr="00F60479">
        <w:rPr>
          <w:rFonts w:ascii="Verdana" w:hAnsi="Verdana"/>
          <w:sz w:val="21"/>
          <w:szCs w:val="21"/>
          <w:lang w:eastAsia="it-IT"/>
        </w:rPr>
        <w:t xml:space="preserve"> anche con riferimento a</w:t>
      </w:r>
      <w:r w:rsidR="00DE493F">
        <w:rPr>
          <w:rFonts w:ascii="Verdana" w:hAnsi="Verdana"/>
          <w:sz w:val="21"/>
          <w:szCs w:val="21"/>
          <w:lang w:eastAsia="it-IT"/>
        </w:rPr>
        <w:t>l</w:t>
      </w:r>
      <w:r w:rsidR="00E664DF" w:rsidRPr="00F60479">
        <w:rPr>
          <w:rFonts w:ascii="Verdana" w:hAnsi="Verdana"/>
          <w:sz w:val="21"/>
          <w:szCs w:val="21"/>
          <w:lang w:eastAsia="it-IT"/>
        </w:rPr>
        <w:t>le indicazioni condivise durante gli incontri dei tavoli di coordinamento degli RPCT AVEC e regionali.</w:t>
      </w:r>
    </w:p>
    <w:p w14:paraId="2ABB734B" w14:textId="6CBA973A" w:rsidR="000B32EB" w:rsidRDefault="000B32EB" w:rsidP="0000151C">
      <w:pPr>
        <w:shd w:val="clear" w:color="auto" w:fill="FFFFFF"/>
        <w:spacing w:after="150" w:line="240" w:lineRule="auto"/>
        <w:contextualSpacing/>
        <w:jc w:val="both"/>
        <w:rPr>
          <w:rFonts w:ascii="Verdana" w:hAnsi="Verdana"/>
          <w:sz w:val="21"/>
          <w:szCs w:val="21"/>
          <w:lang w:eastAsia="it-IT"/>
        </w:rPr>
      </w:pPr>
    </w:p>
    <w:p w14:paraId="738AA78D" w14:textId="05C39E6A" w:rsidR="000B32EB" w:rsidRDefault="000B32EB" w:rsidP="0000151C">
      <w:pPr>
        <w:shd w:val="clear" w:color="auto" w:fill="FFFFFF"/>
        <w:spacing w:after="150" w:line="240" w:lineRule="auto"/>
        <w:contextualSpacing/>
        <w:jc w:val="both"/>
        <w:rPr>
          <w:rFonts w:ascii="Verdana" w:hAnsi="Verdana"/>
          <w:sz w:val="21"/>
          <w:szCs w:val="21"/>
          <w:lang w:eastAsia="it-IT"/>
        </w:rPr>
      </w:pPr>
      <w:r w:rsidRPr="006E3157">
        <w:rPr>
          <w:rFonts w:ascii="Verdana" w:hAnsi="Verdana"/>
          <w:sz w:val="21"/>
          <w:szCs w:val="21"/>
          <w:lang w:eastAsia="it-IT"/>
        </w:rPr>
        <w:t>Nel 2026 sarà posta particolare attenzione alla parte del PNA 2025 che descrive le condizioni per cui un documento può essere considerato accessibile, anche in considerazione del</w:t>
      </w:r>
      <w:r w:rsidR="00C56FE7" w:rsidRPr="006E3157">
        <w:rPr>
          <w:rFonts w:ascii="Verdana" w:hAnsi="Verdana"/>
          <w:sz w:val="21"/>
          <w:szCs w:val="21"/>
          <w:lang w:eastAsia="it-IT"/>
        </w:rPr>
        <w:t xml:space="preserve"> fatto che</w:t>
      </w:r>
      <w:r w:rsidRPr="006E3157">
        <w:rPr>
          <w:rFonts w:ascii="Verdana" w:hAnsi="Verdana"/>
          <w:sz w:val="21"/>
          <w:szCs w:val="21"/>
          <w:lang w:eastAsia="it-IT"/>
        </w:rPr>
        <w:t xml:space="preserve"> l’inclusione delle persone con disabilità costituisce un elemento essenziale della Mission</w:t>
      </w:r>
      <w:r w:rsidR="00C56FE7" w:rsidRPr="006E3157">
        <w:rPr>
          <w:rFonts w:ascii="Verdana" w:hAnsi="Verdana"/>
          <w:sz w:val="21"/>
          <w:szCs w:val="21"/>
          <w:lang w:eastAsia="it-IT"/>
        </w:rPr>
        <w:t xml:space="preserve"> di questo Istituto</w:t>
      </w:r>
      <w:r w:rsidR="00206673" w:rsidRPr="006E3157">
        <w:rPr>
          <w:rFonts w:ascii="Verdana" w:hAnsi="Verdana"/>
          <w:sz w:val="21"/>
          <w:szCs w:val="21"/>
          <w:lang w:eastAsia="it-IT"/>
        </w:rPr>
        <w:t>.</w:t>
      </w:r>
    </w:p>
    <w:p w14:paraId="7137ADCD" w14:textId="77777777" w:rsidR="000B32EB" w:rsidRPr="00F60479" w:rsidRDefault="000B32EB" w:rsidP="0000151C">
      <w:pPr>
        <w:shd w:val="clear" w:color="auto" w:fill="FFFFFF"/>
        <w:spacing w:after="150" w:line="240" w:lineRule="auto"/>
        <w:contextualSpacing/>
        <w:jc w:val="both"/>
        <w:rPr>
          <w:rFonts w:ascii="Verdana" w:hAnsi="Verdana"/>
          <w:sz w:val="21"/>
          <w:szCs w:val="21"/>
          <w:lang w:eastAsia="it-IT"/>
        </w:rPr>
      </w:pPr>
    </w:p>
    <w:p w14:paraId="29E1D0AE" w14:textId="77777777" w:rsidR="00DC28D5" w:rsidRPr="002732D8" w:rsidRDefault="006026DF" w:rsidP="003A3639">
      <w:pPr>
        <w:pStyle w:val="Titolo2"/>
        <w:spacing w:afterLines="72" w:after="172"/>
        <w:rPr>
          <w:rFonts w:cs="Times New Roman"/>
          <w:szCs w:val="24"/>
          <w:lang w:val="it-IT"/>
        </w:rPr>
      </w:pPr>
      <w:bookmarkStart w:id="34" w:name="_Toc225863551"/>
      <w:r w:rsidRPr="0009315F">
        <w:rPr>
          <w:rFonts w:cs="Times New Roman"/>
          <w:szCs w:val="24"/>
        </w:rPr>
        <w:t>M.2 RESPONSABILE DELL’ANAGRAFE DELLA STAZIONE APPALTANTE (RASA)</w:t>
      </w:r>
      <w:bookmarkEnd w:id="34"/>
      <w:r w:rsidR="002732D8">
        <w:rPr>
          <w:rFonts w:cs="Times New Roman"/>
          <w:szCs w:val="24"/>
          <w:lang w:val="it-IT"/>
        </w:rPr>
        <w:t xml:space="preserve"> </w:t>
      </w:r>
    </w:p>
    <w:p w14:paraId="570F6AFE" w14:textId="77777777" w:rsidR="00DC28D5" w:rsidRPr="006D5CFE" w:rsidRDefault="00DC28D5" w:rsidP="003A3639">
      <w:pPr>
        <w:shd w:val="clear" w:color="auto" w:fill="FFFFFF"/>
        <w:spacing w:afterLines="72" w:after="172" w:line="240" w:lineRule="auto"/>
        <w:contextualSpacing/>
        <w:jc w:val="both"/>
        <w:rPr>
          <w:rFonts w:ascii="Verdana" w:hAnsi="Verdana"/>
          <w:sz w:val="21"/>
          <w:szCs w:val="21"/>
        </w:rPr>
      </w:pPr>
      <w:r w:rsidRPr="006D5CFE">
        <w:rPr>
          <w:rFonts w:ascii="Verdana" w:hAnsi="Verdana"/>
          <w:sz w:val="21"/>
          <w:szCs w:val="21"/>
          <w:lang w:eastAsia="it-IT"/>
        </w:rPr>
        <w:t xml:space="preserve">Ogni stazione appaltante è tenuta a nominare il soggetto responsabile (RASA) dell’inserimento e dell’aggiornamento annuale degli elementi identificativi della stazione appaltante stessa. </w:t>
      </w:r>
    </w:p>
    <w:p w14:paraId="05886C91" w14:textId="77777777" w:rsidR="00DC28D5" w:rsidRPr="009B2766" w:rsidRDefault="00DC28D5">
      <w:pPr>
        <w:shd w:val="clear" w:color="auto" w:fill="FFFFFF"/>
        <w:spacing w:after="150" w:line="240" w:lineRule="auto"/>
        <w:contextualSpacing/>
        <w:jc w:val="both"/>
        <w:rPr>
          <w:rFonts w:ascii="Verdana" w:hAnsi="Verdana"/>
          <w:sz w:val="21"/>
          <w:szCs w:val="21"/>
        </w:rPr>
      </w:pPr>
      <w:r w:rsidRPr="006D5CFE">
        <w:rPr>
          <w:rFonts w:ascii="Verdana" w:hAnsi="Verdana"/>
          <w:sz w:val="21"/>
          <w:szCs w:val="21"/>
          <w:lang w:eastAsia="it-IT"/>
        </w:rPr>
        <w:t>Resta salva la facoltà</w:t>
      </w:r>
      <w:r w:rsidRPr="009B2766">
        <w:rPr>
          <w:rFonts w:ascii="Verdana" w:hAnsi="Verdana"/>
          <w:sz w:val="21"/>
          <w:szCs w:val="21"/>
          <w:lang w:eastAsia="it-IT"/>
        </w:rPr>
        <w:t xml:space="preserve"> delle amministrazioni e degli enti come MRI, nell’ambito della propria autonomia organizzativa, di valutare l’opportunità di attribuire a un unico soggetto tutti i ruoli (RASA e RPC e RT) con le diverse funzioni previste, rispettivamente, dal D.L. 179/2012 e dalla normativa sulla trasparenza, in relazione alle dimensioni e alla complessità della propria struttura</w:t>
      </w:r>
      <w:r w:rsidR="009B2766">
        <w:rPr>
          <w:rFonts w:ascii="Verdana" w:hAnsi="Verdana"/>
          <w:sz w:val="21"/>
          <w:szCs w:val="21"/>
          <w:lang w:eastAsia="it-IT"/>
        </w:rPr>
        <w:t>; la scelta di Montecatone è stata di tenere distinto RASA da RPCT.</w:t>
      </w:r>
    </w:p>
    <w:p w14:paraId="5DB9A56E" w14:textId="77777777" w:rsidR="00DC28D5" w:rsidRDefault="00DC28D5">
      <w:pPr>
        <w:shd w:val="clear" w:color="auto" w:fill="FFFFFF"/>
        <w:spacing w:after="150" w:line="240" w:lineRule="auto"/>
        <w:contextualSpacing/>
        <w:jc w:val="both"/>
        <w:rPr>
          <w:rFonts w:ascii="Verdana" w:hAnsi="Verdana"/>
          <w:sz w:val="21"/>
          <w:szCs w:val="21"/>
          <w:lang w:eastAsia="it-IT"/>
        </w:rPr>
      </w:pPr>
      <w:r w:rsidRPr="00C90292">
        <w:rPr>
          <w:rFonts w:ascii="Verdana" w:hAnsi="Verdana"/>
          <w:sz w:val="21"/>
          <w:szCs w:val="21"/>
          <w:lang w:eastAsia="it-IT"/>
        </w:rPr>
        <w:t xml:space="preserve">Al fine di assicurare l’effettivo inserimento dei dati nell’Anagrafe Unica delle Stazioni Appaltanti (AUSA) e relativo aggiornamento annuale, si è proceduto </w:t>
      </w:r>
      <w:r w:rsidR="009B2766" w:rsidRPr="00C90292">
        <w:rPr>
          <w:rFonts w:ascii="Verdana" w:hAnsi="Verdana"/>
          <w:sz w:val="21"/>
          <w:szCs w:val="21"/>
          <w:lang w:eastAsia="it-IT"/>
        </w:rPr>
        <w:t>a</w:t>
      </w:r>
      <w:r w:rsidRPr="00C90292">
        <w:rPr>
          <w:rFonts w:ascii="Verdana" w:hAnsi="Verdana"/>
          <w:sz w:val="21"/>
          <w:szCs w:val="21"/>
          <w:lang w:eastAsia="it-IT"/>
        </w:rPr>
        <w:t>ll’individuazione del RASA con atto di nomina N°</w:t>
      </w:r>
      <w:r w:rsidR="00E303A5" w:rsidRPr="00C90292">
        <w:rPr>
          <w:rFonts w:ascii="Verdana" w:hAnsi="Verdana"/>
          <w:sz w:val="21"/>
          <w:szCs w:val="21"/>
          <w:lang w:eastAsia="it-IT"/>
        </w:rPr>
        <w:t xml:space="preserve"> </w:t>
      </w:r>
      <w:r w:rsidRPr="00C90292">
        <w:rPr>
          <w:rFonts w:ascii="Verdana" w:hAnsi="Verdana"/>
          <w:sz w:val="21"/>
          <w:szCs w:val="21"/>
          <w:lang w:eastAsia="it-IT"/>
        </w:rPr>
        <w:t xml:space="preserve">prot. 525 del 27/03/2017 </w:t>
      </w:r>
      <w:r w:rsidR="00E1092A" w:rsidRPr="00C90292">
        <w:rPr>
          <w:rFonts w:ascii="Verdana" w:hAnsi="Verdana"/>
          <w:sz w:val="21"/>
          <w:szCs w:val="21"/>
          <w:lang w:eastAsia="it-IT"/>
        </w:rPr>
        <w:t xml:space="preserve">rinnovato il 25/10/2023 con Prot. n. 2023/1943 </w:t>
      </w:r>
      <w:r w:rsidR="009B2766" w:rsidRPr="00C90292">
        <w:rPr>
          <w:rFonts w:ascii="Verdana" w:hAnsi="Verdana"/>
          <w:sz w:val="21"/>
          <w:szCs w:val="21"/>
          <w:lang w:eastAsia="it-IT"/>
        </w:rPr>
        <w:t xml:space="preserve">nella persona del Dott. Federico Lorenzini, </w:t>
      </w:r>
      <w:r w:rsidRPr="00C90292">
        <w:rPr>
          <w:rFonts w:ascii="Verdana" w:hAnsi="Verdana"/>
          <w:sz w:val="21"/>
          <w:szCs w:val="21"/>
          <w:lang w:eastAsia="it-IT"/>
        </w:rPr>
        <w:t>il quale si è attivato per l’abilitazione del profilo</w:t>
      </w:r>
      <w:r w:rsidRPr="00E1092A">
        <w:rPr>
          <w:rFonts w:ascii="Verdana" w:hAnsi="Verdana"/>
          <w:sz w:val="21"/>
          <w:szCs w:val="21"/>
          <w:lang w:eastAsia="it-IT"/>
        </w:rPr>
        <w:t xml:space="preserve"> utente di RASA ed ha provveduto ad inserire ed inviare le informazioni richieste e a ottenere in data 3 gennaio 2018 il rilascio dell’attestato di iscrizione della Montecatone Rehabilitation Institute S.p.A. all’Anagrafe Unica delle Stazioni Appaltanti.</w:t>
      </w:r>
    </w:p>
    <w:p w14:paraId="360C53FD" w14:textId="77777777" w:rsidR="00140253" w:rsidRDefault="00140253">
      <w:pPr>
        <w:shd w:val="clear" w:color="auto" w:fill="FFFFFF"/>
        <w:spacing w:after="150" w:line="240" w:lineRule="auto"/>
        <w:contextualSpacing/>
        <w:jc w:val="both"/>
        <w:rPr>
          <w:rFonts w:ascii="Verdana" w:hAnsi="Verdana"/>
          <w:sz w:val="21"/>
          <w:szCs w:val="21"/>
        </w:rPr>
      </w:pPr>
    </w:p>
    <w:p w14:paraId="7A194996" w14:textId="77777777" w:rsidR="00F60479" w:rsidRPr="009B2766" w:rsidRDefault="00F60479">
      <w:pPr>
        <w:shd w:val="clear" w:color="auto" w:fill="FFFFFF"/>
        <w:spacing w:after="150" w:line="240" w:lineRule="auto"/>
        <w:contextualSpacing/>
        <w:jc w:val="both"/>
        <w:rPr>
          <w:rFonts w:ascii="Verdana" w:hAnsi="Verdana"/>
          <w:sz w:val="21"/>
          <w:szCs w:val="21"/>
        </w:rPr>
      </w:pPr>
    </w:p>
    <w:p w14:paraId="3728E94B" w14:textId="77777777" w:rsidR="000701FF" w:rsidRDefault="000701FF" w:rsidP="003A3639">
      <w:pPr>
        <w:pStyle w:val="Titolo1"/>
        <w:numPr>
          <w:ilvl w:val="0"/>
          <w:numId w:val="0"/>
        </w:numPr>
        <w:spacing w:afterLines="72" w:after="172"/>
        <w:rPr>
          <w:rFonts w:cs="Times New Roman"/>
          <w:sz w:val="28"/>
          <w:lang w:val="it-IT"/>
        </w:rPr>
      </w:pPr>
      <w:bookmarkStart w:id="35" w:name="_Toc225863552"/>
      <w:r>
        <w:rPr>
          <w:rFonts w:cs="Times New Roman"/>
          <w:sz w:val="28"/>
          <w:lang w:val="it-IT"/>
        </w:rPr>
        <w:t>N. ALLEGATI</w:t>
      </w:r>
      <w:bookmarkEnd w:id="35"/>
    </w:p>
    <w:p w14:paraId="378AA801" w14:textId="77777777" w:rsidR="00F60479" w:rsidRPr="00F60479" w:rsidRDefault="00F60479" w:rsidP="00F60479"/>
    <w:p w14:paraId="5D5C0C52" w14:textId="77777777" w:rsidR="00DC28D5" w:rsidRDefault="00DC28D5" w:rsidP="00327D29">
      <w:pPr>
        <w:pStyle w:val="Nessunaspaziatura"/>
        <w:numPr>
          <w:ilvl w:val="0"/>
          <w:numId w:val="20"/>
        </w:numPr>
        <w:spacing w:afterLines="72" w:after="172"/>
        <w:ind w:left="426"/>
        <w:jc w:val="both"/>
        <w:rPr>
          <w:rFonts w:ascii="Verdana" w:hAnsi="Verdana"/>
        </w:rPr>
      </w:pPr>
      <w:r w:rsidRPr="00703658">
        <w:rPr>
          <w:rFonts w:ascii="Verdana" w:hAnsi="Verdana"/>
          <w:b/>
          <w:bCs/>
        </w:rPr>
        <w:t>Allegato 1</w:t>
      </w:r>
      <w:r w:rsidRPr="000701FF">
        <w:rPr>
          <w:rFonts w:ascii="Verdana" w:hAnsi="Verdana"/>
        </w:rPr>
        <w:t xml:space="preserve"> PTPCT: TRASPARENZA</w:t>
      </w:r>
    </w:p>
    <w:p w14:paraId="294C8BF2" w14:textId="77777777" w:rsidR="00861896" w:rsidRDefault="00861896" w:rsidP="00861896">
      <w:pPr>
        <w:pStyle w:val="Nessunaspaziatura"/>
        <w:spacing w:afterLines="72" w:after="172"/>
        <w:ind w:left="426"/>
        <w:jc w:val="both"/>
        <w:rPr>
          <w:rFonts w:ascii="Verdana" w:hAnsi="Verdana"/>
        </w:rPr>
      </w:pPr>
    </w:p>
    <w:p w14:paraId="691221B0" w14:textId="77777777" w:rsidR="00DC28D5" w:rsidRPr="00F60479" w:rsidRDefault="00DC28D5" w:rsidP="00327D29">
      <w:pPr>
        <w:pStyle w:val="Nessunaspaziatura"/>
        <w:numPr>
          <w:ilvl w:val="0"/>
          <w:numId w:val="20"/>
        </w:numPr>
        <w:spacing w:afterLines="72" w:after="172"/>
        <w:ind w:left="426"/>
        <w:jc w:val="both"/>
        <w:rPr>
          <w:rFonts w:ascii="Verdana" w:hAnsi="Verdana"/>
          <w:color w:val="FF0000"/>
        </w:rPr>
      </w:pPr>
      <w:r w:rsidRPr="00703658">
        <w:rPr>
          <w:rFonts w:ascii="Verdana" w:hAnsi="Verdana"/>
          <w:b/>
          <w:bCs/>
        </w:rPr>
        <w:t>Allegato 2</w:t>
      </w:r>
      <w:r w:rsidRPr="000701FF">
        <w:rPr>
          <w:rFonts w:ascii="Verdana" w:hAnsi="Verdana"/>
        </w:rPr>
        <w:t xml:space="preserve"> </w:t>
      </w:r>
      <w:bookmarkStart w:id="36" w:name="_Hlk31467718"/>
      <w:r w:rsidRPr="00877A7E">
        <w:rPr>
          <w:rFonts w:ascii="Verdana" w:hAnsi="Verdana"/>
        </w:rPr>
        <w:t>PTPCT: MAPPATURA AREE DI RISCHIO</w:t>
      </w:r>
      <w:r w:rsidR="00831DE4" w:rsidRPr="00877A7E">
        <w:rPr>
          <w:rFonts w:ascii="Verdana" w:hAnsi="Verdana"/>
        </w:rPr>
        <w:t>/PROCESSI, REGISTRO DEI RISCHI E MISURE SPECIFICHE</w:t>
      </w:r>
      <w:r w:rsidRPr="000701FF">
        <w:rPr>
          <w:rFonts w:ascii="Verdana" w:hAnsi="Verdana"/>
        </w:rPr>
        <w:t xml:space="preserve"> </w:t>
      </w:r>
      <w:bookmarkEnd w:id="36"/>
    </w:p>
    <w:p w14:paraId="34F91D90" w14:textId="77777777" w:rsidR="00DC28D5" w:rsidRDefault="00381A19" w:rsidP="006037D0">
      <w:pPr>
        <w:pStyle w:val="Titolo1"/>
        <w:numPr>
          <w:ilvl w:val="0"/>
          <w:numId w:val="0"/>
        </w:numPr>
        <w:rPr>
          <w:rFonts w:cs="Times New Roman"/>
          <w:b w:val="0"/>
          <w:bCs/>
          <w:sz w:val="16"/>
          <w:szCs w:val="16"/>
          <w:lang w:val="it-IT"/>
        </w:rPr>
      </w:pPr>
      <w:bookmarkStart w:id="37" w:name="_Toc225863553"/>
      <w:r w:rsidRPr="001D19A6">
        <w:rPr>
          <w:rFonts w:cs="Times New Roman"/>
          <w:b w:val="0"/>
          <w:bCs/>
          <w:sz w:val="16"/>
          <w:szCs w:val="16"/>
          <w:lang w:val="it-IT"/>
        </w:rPr>
        <w:t>Elenco degli acronimi e delle abbreviazioni più utilizzati</w:t>
      </w:r>
      <w:bookmarkEnd w:id="37"/>
    </w:p>
    <w:p w14:paraId="3479CC6A" w14:textId="77777777" w:rsidR="00381A19" w:rsidRPr="000E52E6" w:rsidRDefault="00381A19" w:rsidP="00A37D5C">
      <w:pPr>
        <w:spacing w:line="240" w:lineRule="auto"/>
        <w:jc w:val="both"/>
        <w:rPr>
          <w:rFonts w:ascii="Verdana" w:hAnsi="Verdana"/>
          <w:sz w:val="14"/>
          <w:szCs w:val="14"/>
        </w:rPr>
      </w:pPr>
      <w:r w:rsidRPr="000E52E6">
        <w:rPr>
          <w:rFonts w:ascii="Verdana" w:hAnsi="Verdana"/>
          <w:sz w:val="14"/>
          <w:szCs w:val="14"/>
        </w:rPr>
        <w:t>ANAC</w:t>
      </w:r>
      <w:r w:rsidR="00E33662" w:rsidRPr="000E52E6">
        <w:rPr>
          <w:rFonts w:ascii="Verdana" w:hAnsi="Verdana"/>
          <w:sz w:val="14"/>
          <w:szCs w:val="14"/>
        </w:rPr>
        <w:t xml:space="preserve"> </w:t>
      </w:r>
      <w:r w:rsidR="00E33662" w:rsidRPr="000E52E6">
        <w:rPr>
          <w:rFonts w:ascii="Verdana" w:hAnsi="Verdana"/>
          <w:sz w:val="14"/>
          <w:szCs w:val="14"/>
        </w:rPr>
        <w:tab/>
      </w:r>
      <w:r w:rsidR="00E33662" w:rsidRPr="000E52E6">
        <w:rPr>
          <w:rFonts w:ascii="Verdana" w:hAnsi="Verdana"/>
          <w:sz w:val="14"/>
          <w:szCs w:val="14"/>
        </w:rPr>
        <w:tab/>
      </w:r>
      <w:r w:rsidR="00E33662" w:rsidRPr="000E52E6">
        <w:rPr>
          <w:rFonts w:ascii="Verdana" w:hAnsi="Verdana"/>
          <w:sz w:val="14"/>
          <w:szCs w:val="14"/>
        </w:rPr>
        <w:tab/>
        <w:t>Autorità Nazionale Anticorruzione</w:t>
      </w:r>
    </w:p>
    <w:p w14:paraId="3FA3D2F4" w14:textId="77777777" w:rsidR="00486B13" w:rsidRPr="000E52E6" w:rsidRDefault="00486B13" w:rsidP="00486B13">
      <w:pPr>
        <w:spacing w:line="240" w:lineRule="auto"/>
        <w:jc w:val="both"/>
        <w:rPr>
          <w:rFonts w:ascii="Verdana" w:hAnsi="Verdana"/>
          <w:sz w:val="14"/>
          <w:szCs w:val="14"/>
        </w:rPr>
      </w:pPr>
      <w:r w:rsidRPr="000E52E6">
        <w:rPr>
          <w:rFonts w:ascii="Verdana" w:hAnsi="Verdana"/>
          <w:sz w:val="14"/>
          <w:szCs w:val="14"/>
        </w:rPr>
        <w:t>AUSA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Anagrafe Unica delle Stazioni Appaltanti</w:t>
      </w:r>
    </w:p>
    <w:p w14:paraId="0AE0A952" w14:textId="77777777" w:rsidR="00486B13" w:rsidRDefault="00486B13" w:rsidP="00486B13">
      <w:pPr>
        <w:spacing w:line="240" w:lineRule="auto"/>
        <w:jc w:val="both"/>
        <w:rPr>
          <w:rFonts w:ascii="Verdana" w:hAnsi="Verdana"/>
          <w:sz w:val="14"/>
          <w:szCs w:val="14"/>
        </w:rPr>
      </w:pPr>
      <w:r w:rsidRPr="000E52E6">
        <w:rPr>
          <w:rFonts w:ascii="Verdana" w:hAnsi="Verdana"/>
          <w:sz w:val="14"/>
          <w:szCs w:val="14"/>
        </w:rPr>
        <w:t>AVEC</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Area Vasta Emilia Centro</w:t>
      </w:r>
    </w:p>
    <w:p w14:paraId="67CC579F" w14:textId="77777777" w:rsidR="0011365A" w:rsidRPr="000E52E6" w:rsidRDefault="0011365A" w:rsidP="00486B13">
      <w:pPr>
        <w:spacing w:line="240" w:lineRule="auto"/>
        <w:jc w:val="both"/>
        <w:rPr>
          <w:rFonts w:ascii="Verdana" w:hAnsi="Verdana"/>
          <w:sz w:val="14"/>
          <w:szCs w:val="14"/>
        </w:rPr>
      </w:pPr>
      <w:r>
        <w:rPr>
          <w:rFonts w:ascii="Verdana" w:hAnsi="Verdana"/>
          <w:sz w:val="14"/>
          <w:szCs w:val="14"/>
        </w:rPr>
        <w:t>BDNCP</w:t>
      </w:r>
      <w:r>
        <w:rPr>
          <w:rFonts w:ascii="Verdana" w:hAnsi="Verdana"/>
          <w:sz w:val="14"/>
          <w:szCs w:val="14"/>
        </w:rPr>
        <w:tab/>
      </w:r>
      <w:r>
        <w:rPr>
          <w:rFonts w:ascii="Verdana" w:hAnsi="Verdana"/>
          <w:sz w:val="14"/>
          <w:szCs w:val="14"/>
        </w:rPr>
        <w:tab/>
      </w:r>
      <w:r>
        <w:rPr>
          <w:rFonts w:ascii="Verdana" w:hAnsi="Verdana"/>
          <w:sz w:val="14"/>
          <w:szCs w:val="14"/>
        </w:rPr>
        <w:tab/>
        <w:t>Banca Dati Nazionale Contratti Pubblici</w:t>
      </w:r>
    </w:p>
    <w:p w14:paraId="254A6EBE" w14:textId="77777777" w:rsidR="002C1DA2" w:rsidRPr="000E52E6" w:rsidRDefault="002C1DA2" w:rsidP="00A37D5C">
      <w:pPr>
        <w:spacing w:line="240" w:lineRule="auto"/>
        <w:jc w:val="both"/>
        <w:rPr>
          <w:rFonts w:ascii="Verdana" w:hAnsi="Verdana"/>
          <w:sz w:val="14"/>
          <w:szCs w:val="14"/>
        </w:rPr>
      </w:pPr>
      <w:proofErr w:type="spellStart"/>
      <w:r w:rsidRPr="000E52E6">
        <w:rPr>
          <w:rFonts w:ascii="Verdana" w:hAnsi="Verdana"/>
          <w:sz w:val="14"/>
          <w:szCs w:val="14"/>
        </w:rPr>
        <w:t>C</w:t>
      </w:r>
      <w:r w:rsidR="00033984" w:rsidRPr="000E52E6">
        <w:rPr>
          <w:rFonts w:ascii="Verdana" w:hAnsi="Verdana"/>
          <w:sz w:val="14"/>
          <w:szCs w:val="14"/>
        </w:rPr>
        <w:t>.</w:t>
      </w:r>
      <w:proofErr w:type="gramStart"/>
      <w:r w:rsidRPr="000E52E6">
        <w:rPr>
          <w:rFonts w:ascii="Verdana" w:hAnsi="Verdana"/>
          <w:sz w:val="14"/>
          <w:szCs w:val="14"/>
        </w:rPr>
        <w:t>d</w:t>
      </w:r>
      <w:r w:rsidR="00033984" w:rsidRPr="000E52E6">
        <w:rPr>
          <w:rFonts w:ascii="Verdana" w:hAnsi="Verdana"/>
          <w:sz w:val="14"/>
          <w:szCs w:val="14"/>
        </w:rPr>
        <w:t>.</w:t>
      </w:r>
      <w:r w:rsidRPr="000E52E6">
        <w:rPr>
          <w:rFonts w:ascii="Verdana" w:hAnsi="Verdana"/>
          <w:sz w:val="14"/>
          <w:szCs w:val="14"/>
        </w:rPr>
        <w:t>A</w:t>
      </w:r>
      <w:proofErr w:type="spellEnd"/>
      <w:proofErr w:type="gramEnd"/>
      <w:r w:rsidR="00E33662" w:rsidRPr="000E52E6">
        <w:rPr>
          <w:rFonts w:ascii="Verdana" w:hAnsi="Verdana"/>
          <w:sz w:val="14"/>
          <w:szCs w:val="14"/>
        </w:rPr>
        <w:tab/>
      </w:r>
      <w:r w:rsidR="00E33662" w:rsidRPr="000E52E6">
        <w:rPr>
          <w:rFonts w:ascii="Verdana" w:hAnsi="Verdana"/>
          <w:sz w:val="14"/>
          <w:szCs w:val="14"/>
        </w:rPr>
        <w:tab/>
      </w:r>
      <w:r w:rsidR="00E33662" w:rsidRPr="000E52E6">
        <w:rPr>
          <w:rFonts w:ascii="Verdana" w:hAnsi="Verdana"/>
          <w:sz w:val="14"/>
          <w:szCs w:val="14"/>
        </w:rPr>
        <w:tab/>
        <w:t>Consiglio di Amministrazione</w:t>
      </w:r>
    </w:p>
    <w:p w14:paraId="33872BCB"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CUP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Codice Unico di Progetto</w:t>
      </w:r>
    </w:p>
    <w:p w14:paraId="63A7CA22"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DGR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Delibera di Giunta Regionale</w:t>
      </w:r>
    </w:p>
    <w:p w14:paraId="37026DD1"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D.Lgs.</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Decreto Legislativo</w:t>
      </w:r>
    </w:p>
    <w:p w14:paraId="733BC13E"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DPO/RPD</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 xml:space="preserve">Data </w:t>
      </w:r>
      <w:proofErr w:type="spellStart"/>
      <w:r w:rsidRPr="000E52E6">
        <w:rPr>
          <w:rFonts w:ascii="Verdana" w:hAnsi="Verdana"/>
          <w:sz w:val="14"/>
          <w:szCs w:val="14"/>
        </w:rPr>
        <w:t>Protection</w:t>
      </w:r>
      <w:proofErr w:type="spellEnd"/>
      <w:r w:rsidRPr="000E52E6">
        <w:rPr>
          <w:rFonts w:ascii="Verdana" w:hAnsi="Verdana"/>
          <w:sz w:val="14"/>
          <w:szCs w:val="14"/>
        </w:rPr>
        <w:t xml:space="preserve"> Officer/Responsabile della Protezione dei Dati</w:t>
      </w:r>
    </w:p>
    <w:p w14:paraId="56714AF4"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 xml:space="preserve">D.P.R. </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Decreto del Presidente della Repubblica</w:t>
      </w:r>
    </w:p>
    <w:p w14:paraId="53554DFA"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GAP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Gruppo Aziendale Privacy</w:t>
      </w:r>
    </w:p>
    <w:p w14:paraId="0A9D59C6"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GDPR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 xml:space="preserve">General Data </w:t>
      </w:r>
      <w:proofErr w:type="spellStart"/>
      <w:r w:rsidRPr="000E52E6">
        <w:rPr>
          <w:rFonts w:ascii="Verdana" w:hAnsi="Verdana"/>
          <w:sz w:val="14"/>
          <w:szCs w:val="14"/>
        </w:rPr>
        <w:t>Protection</w:t>
      </w:r>
      <w:proofErr w:type="spellEnd"/>
      <w:r w:rsidRPr="000E52E6">
        <w:rPr>
          <w:rFonts w:ascii="Verdana" w:hAnsi="Verdana"/>
          <w:sz w:val="14"/>
          <w:szCs w:val="14"/>
        </w:rPr>
        <w:t xml:space="preserve"> </w:t>
      </w:r>
      <w:proofErr w:type="spellStart"/>
      <w:r w:rsidRPr="000E52E6">
        <w:rPr>
          <w:rFonts w:ascii="Verdana" w:hAnsi="Verdana"/>
          <w:sz w:val="14"/>
          <w:szCs w:val="14"/>
        </w:rPr>
        <w:t>Regulation</w:t>
      </w:r>
      <w:proofErr w:type="spellEnd"/>
      <w:r w:rsidRPr="000E52E6">
        <w:rPr>
          <w:rFonts w:ascii="Verdana" w:hAnsi="Verdana"/>
          <w:sz w:val="14"/>
          <w:szCs w:val="14"/>
        </w:rPr>
        <w:t xml:space="preserve"> n. 2016/679</w:t>
      </w:r>
    </w:p>
    <w:p w14:paraId="5189AE43"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INTERCENT-ER</w:t>
      </w:r>
      <w:r w:rsidRPr="000E52E6">
        <w:rPr>
          <w:rFonts w:ascii="Verdana" w:hAnsi="Verdana"/>
          <w:sz w:val="14"/>
          <w:szCs w:val="14"/>
        </w:rPr>
        <w:tab/>
      </w:r>
      <w:r w:rsidRPr="000E52E6">
        <w:rPr>
          <w:rFonts w:ascii="Verdana" w:hAnsi="Verdana"/>
          <w:sz w:val="14"/>
          <w:szCs w:val="14"/>
        </w:rPr>
        <w:tab/>
        <w:t>Agenzia per lo sviluppo dei mercati telematici della Regione Emilia-Romagna</w:t>
      </w:r>
    </w:p>
    <w:p w14:paraId="29EF160F"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MOG/MODELLO 231</w:t>
      </w:r>
      <w:r w:rsidRPr="000E52E6">
        <w:rPr>
          <w:rFonts w:ascii="Verdana" w:hAnsi="Verdana"/>
          <w:sz w:val="14"/>
          <w:szCs w:val="14"/>
        </w:rPr>
        <w:tab/>
      </w:r>
      <w:r w:rsidRPr="000E52E6">
        <w:rPr>
          <w:rFonts w:ascii="Verdana" w:hAnsi="Verdana"/>
          <w:sz w:val="14"/>
          <w:szCs w:val="14"/>
        </w:rPr>
        <w:tab/>
        <w:t>Modello Organizzativo Gestionale previsto dal D.Lgs. n. 231/2001</w:t>
      </w:r>
    </w:p>
    <w:p w14:paraId="542E0F7F"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MRI</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Montecatone Rehabilitation Institute S.p.A.</w:t>
      </w:r>
    </w:p>
    <w:p w14:paraId="06155102"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OAV</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Organismo Aziendale di Valutazione</w:t>
      </w:r>
    </w:p>
    <w:p w14:paraId="7AD17358"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ODV</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Organismo di Vigilanza ai sensi del D.Lgs. n. 231/2001</w:t>
      </w:r>
    </w:p>
    <w:p w14:paraId="5042EAF5"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OIV-SSR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Organismo Indipendente di Valutazione del Servizio Sanitario Regionale</w:t>
      </w:r>
    </w:p>
    <w:p w14:paraId="323C99BD"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Pubblica Amministrazione</w:t>
      </w:r>
    </w:p>
    <w:p w14:paraId="59E2AE3E"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PAF</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Piano Aziendale Formazione</w:t>
      </w:r>
    </w:p>
    <w:p w14:paraId="68435E68"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PNA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Piano Nazionale Anticorruzione</w:t>
      </w:r>
    </w:p>
    <w:p w14:paraId="7B89AC78"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PTPCT</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Piano Triennale di Prevenzione della Corruzione e della Trasparenza</w:t>
      </w:r>
    </w:p>
    <w:p w14:paraId="6BAA7EFD"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RASA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Anagrafe Stazione Appaltante</w:t>
      </w:r>
    </w:p>
    <w:p w14:paraId="06D69272"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RER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Regione Emilia-Romagna</w:t>
      </w:r>
    </w:p>
    <w:p w14:paraId="70BCCD7E" w14:textId="77777777" w:rsidR="00381A19" w:rsidRPr="000E52E6" w:rsidRDefault="00381A19" w:rsidP="00A37D5C">
      <w:pPr>
        <w:spacing w:line="240" w:lineRule="auto"/>
        <w:jc w:val="both"/>
        <w:rPr>
          <w:rFonts w:ascii="Verdana" w:hAnsi="Verdana"/>
          <w:sz w:val="14"/>
          <w:szCs w:val="14"/>
        </w:rPr>
      </w:pPr>
      <w:r w:rsidRPr="000E52E6">
        <w:rPr>
          <w:rFonts w:ascii="Verdana" w:hAnsi="Verdana"/>
          <w:sz w:val="14"/>
          <w:szCs w:val="14"/>
        </w:rPr>
        <w:t>RPCT</w:t>
      </w:r>
      <w:r w:rsidR="00E33662" w:rsidRPr="000E52E6">
        <w:rPr>
          <w:rFonts w:ascii="Verdana" w:hAnsi="Verdana"/>
          <w:sz w:val="14"/>
          <w:szCs w:val="14"/>
        </w:rPr>
        <w:tab/>
      </w:r>
      <w:r w:rsidR="00E33662" w:rsidRPr="000E52E6">
        <w:rPr>
          <w:rFonts w:ascii="Verdana" w:hAnsi="Verdana"/>
          <w:sz w:val="14"/>
          <w:szCs w:val="14"/>
        </w:rPr>
        <w:tab/>
      </w:r>
      <w:r w:rsidR="00E33662" w:rsidRPr="000E52E6">
        <w:rPr>
          <w:rFonts w:ascii="Verdana" w:hAnsi="Verdana"/>
          <w:sz w:val="14"/>
          <w:szCs w:val="14"/>
        </w:rPr>
        <w:tab/>
        <w:t>Responsabile della Prevenzione della Corruzione e della Trasparenza</w:t>
      </w:r>
    </w:p>
    <w:p w14:paraId="16244FD0"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RSPP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Servizio Prevenzione Protezione</w:t>
      </w:r>
    </w:p>
    <w:p w14:paraId="0A16ADEA"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RT</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Trasparenza</w:t>
      </w:r>
    </w:p>
    <w:p w14:paraId="231AAB33"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RUP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Unico del Procedimento</w:t>
      </w:r>
    </w:p>
    <w:p w14:paraId="5126780D"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SAM</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Servizio Acquisti Metropolitano</w:t>
      </w:r>
    </w:p>
    <w:p w14:paraId="33E9B0D3" w14:textId="77777777" w:rsidR="00861896" w:rsidRDefault="00D94D70" w:rsidP="00F436DB">
      <w:pPr>
        <w:spacing w:line="240" w:lineRule="auto"/>
        <w:jc w:val="both"/>
        <w:rPr>
          <w:rFonts w:ascii="Verdana" w:hAnsi="Verdana"/>
          <w:sz w:val="14"/>
          <w:szCs w:val="14"/>
        </w:rPr>
      </w:pPr>
      <w:r w:rsidRPr="000E52E6">
        <w:rPr>
          <w:rFonts w:ascii="Verdana" w:hAnsi="Verdana"/>
          <w:sz w:val="14"/>
          <w:szCs w:val="14"/>
        </w:rPr>
        <w:t>SSN</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Servizio Sanitario Nazionale</w:t>
      </w:r>
    </w:p>
    <w:p w14:paraId="497C8421" w14:textId="0ED8F2DD" w:rsidR="00242145" w:rsidRPr="000E52E6" w:rsidRDefault="00D94D70" w:rsidP="00F436DB">
      <w:pPr>
        <w:spacing w:line="240" w:lineRule="auto"/>
        <w:jc w:val="both"/>
        <w:rPr>
          <w:rFonts w:ascii="Verdana" w:hAnsi="Verdana"/>
          <w:sz w:val="19"/>
          <w:szCs w:val="19"/>
        </w:rPr>
      </w:pPr>
      <w:r w:rsidRPr="000E52E6">
        <w:rPr>
          <w:rFonts w:ascii="Verdana" w:hAnsi="Verdana"/>
          <w:sz w:val="14"/>
          <w:szCs w:val="14"/>
        </w:rPr>
        <w:t>SSR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Servizio Sanitario Regionale</w:t>
      </w:r>
    </w:p>
    <w:sectPr w:rsidR="00242145" w:rsidRPr="000E52E6" w:rsidSect="00C356FE">
      <w:headerReference w:type="even" r:id="rId14"/>
      <w:headerReference w:type="default" r:id="rId15"/>
      <w:footerReference w:type="even" r:id="rId16"/>
      <w:footerReference w:type="default" r:id="rId17"/>
      <w:pgSz w:w="11906" w:h="16838"/>
      <w:pgMar w:top="2268" w:right="1134" w:bottom="1418" w:left="1134" w:header="709"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C6FB" w14:textId="77777777" w:rsidR="00563515" w:rsidRDefault="00563515">
      <w:pPr>
        <w:spacing w:after="0" w:line="240" w:lineRule="auto"/>
      </w:pPr>
      <w:r>
        <w:separator/>
      </w:r>
    </w:p>
  </w:endnote>
  <w:endnote w:type="continuationSeparator" w:id="0">
    <w:p w14:paraId="7F4A7975" w14:textId="77777777" w:rsidR="00563515" w:rsidRDefault="00563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
    <w:altName w:val="Times New Roman"/>
    <w:charset w:val="EE"/>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00DC" w14:textId="77777777" w:rsidR="000701FF" w:rsidRDefault="000701FF">
    <w:pPr>
      <w:pStyle w:val="Pidipagina"/>
    </w:pPr>
  </w:p>
  <w:p w14:paraId="4C8DAC4C" w14:textId="77777777" w:rsidR="000701FF" w:rsidRDefault="000701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64A7" w14:textId="691C03C2" w:rsidR="000701FF" w:rsidRPr="00341812" w:rsidRDefault="000701FF" w:rsidP="00341812">
    <w:pPr>
      <w:pStyle w:val="Pidipagina"/>
      <w:tabs>
        <w:tab w:val="left" w:pos="8505"/>
      </w:tabs>
      <w:rPr>
        <w:rFonts w:ascii="Verdana" w:hAnsi="Verdana"/>
        <w:sz w:val="18"/>
        <w:lang w:val="it-IT"/>
      </w:rPr>
    </w:pPr>
    <w:r w:rsidRPr="004A12B7">
      <w:rPr>
        <w:rFonts w:ascii="Verdana" w:hAnsi="Verdana"/>
        <w:sz w:val="18"/>
      </w:rPr>
      <w:t>PT</w:t>
    </w:r>
    <w:r w:rsidRPr="004A12B7">
      <w:rPr>
        <w:rFonts w:ascii="Verdana" w:hAnsi="Verdana"/>
        <w:sz w:val="18"/>
        <w:lang w:val="it-IT"/>
      </w:rPr>
      <w:t xml:space="preserve">PCT </w:t>
    </w:r>
    <w:r w:rsidR="003831D3">
      <w:rPr>
        <w:rFonts w:ascii="Verdana" w:hAnsi="Verdana"/>
        <w:sz w:val="18"/>
        <w:lang w:val="it-IT"/>
      </w:rPr>
      <w:t>2026-2028</w:t>
    </w:r>
    <w:r w:rsidR="00F5779A">
      <w:rPr>
        <w:rFonts w:ascii="Verdana" w:hAnsi="Verdana"/>
        <w:sz w:val="18"/>
        <w:lang w:val="it-IT"/>
      </w:rPr>
      <w:t xml:space="preserve">  Approvato dal Consiglio di Amministrazione nella seduta </w:t>
    </w:r>
    <w:r w:rsidR="00F5779A" w:rsidRPr="00DA763C">
      <w:rPr>
        <w:rFonts w:ascii="Verdana" w:hAnsi="Verdana"/>
        <w:sz w:val="18"/>
        <w:lang w:val="it-IT"/>
      </w:rPr>
      <w:t>del</w:t>
    </w:r>
    <w:r w:rsidR="001A5288" w:rsidRPr="00DA763C">
      <w:rPr>
        <w:rFonts w:ascii="Verdana" w:hAnsi="Verdana"/>
        <w:sz w:val="18"/>
        <w:lang w:val="it-IT"/>
      </w:rPr>
      <w:t xml:space="preserve"> 27.3.2026</w:t>
    </w:r>
    <w:r>
      <w:rPr>
        <w:rFonts w:ascii="Verdana" w:hAnsi="Verdana"/>
        <w:sz w:val="18"/>
        <w:lang w:val="it-IT"/>
      </w:rPr>
      <w:tab/>
    </w:r>
    <w:r w:rsidR="00734E57">
      <w:rPr>
        <w:rFonts w:ascii="Verdana" w:hAnsi="Verdana"/>
        <w:sz w:val="18"/>
        <w:lang w:val="it-IT"/>
      </w:rPr>
      <w:t xml:space="preserve">  </w:t>
    </w:r>
    <w:r w:rsidRPr="004A12B7">
      <w:rPr>
        <w:rFonts w:ascii="Verdana" w:hAnsi="Verdana"/>
        <w:sz w:val="18"/>
      </w:rPr>
      <w:t xml:space="preserve">pag. </w:t>
    </w:r>
    <w:r w:rsidRPr="004A12B7">
      <w:rPr>
        <w:rStyle w:val="Numeropagina"/>
        <w:rFonts w:ascii="Verdana" w:hAnsi="Verdana"/>
        <w:sz w:val="18"/>
      </w:rPr>
      <w:fldChar w:fldCharType="begin"/>
    </w:r>
    <w:r w:rsidRPr="004A12B7">
      <w:rPr>
        <w:rStyle w:val="Numeropagina"/>
        <w:rFonts w:ascii="Verdana" w:hAnsi="Verdana"/>
        <w:sz w:val="18"/>
      </w:rPr>
      <w:instrText xml:space="preserve"> PAGE </w:instrText>
    </w:r>
    <w:r w:rsidRPr="004A12B7">
      <w:rPr>
        <w:rStyle w:val="Numeropagina"/>
        <w:rFonts w:ascii="Verdana" w:hAnsi="Verdana"/>
        <w:sz w:val="18"/>
      </w:rPr>
      <w:fldChar w:fldCharType="separate"/>
    </w:r>
    <w:r w:rsidR="007051C5">
      <w:rPr>
        <w:rStyle w:val="Numeropagina"/>
        <w:rFonts w:ascii="Verdana" w:hAnsi="Verdana"/>
        <w:noProof/>
        <w:sz w:val="18"/>
      </w:rPr>
      <w:t>56</w:t>
    </w:r>
    <w:r w:rsidRPr="004A12B7">
      <w:rPr>
        <w:rStyle w:val="Numeropagina"/>
        <w:rFonts w:ascii="Verdana" w:hAnsi="Verdana"/>
        <w:sz w:val="18"/>
      </w:rPr>
      <w:fldChar w:fldCharType="end"/>
    </w:r>
    <w:r w:rsidRPr="004A12B7">
      <w:rPr>
        <w:rStyle w:val="Numeropagina"/>
        <w:rFonts w:ascii="Verdana" w:hAnsi="Verdana"/>
        <w:sz w:val="18"/>
      </w:rPr>
      <w:t>/</w:t>
    </w:r>
    <w:r w:rsidRPr="004A12B7">
      <w:rPr>
        <w:rStyle w:val="Numeropagina"/>
        <w:rFonts w:ascii="Verdana" w:hAnsi="Verdana"/>
        <w:sz w:val="18"/>
      </w:rPr>
      <w:fldChar w:fldCharType="begin"/>
    </w:r>
    <w:r w:rsidRPr="004A12B7">
      <w:rPr>
        <w:rStyle w:val="Numeropagina"/>
        <w:rFonts w:ascii="Verdana" w:hAnsi="Verdana"/>
        <w:sz w:val="18"/>
      </w:rPr>
      <w:instrText xml:space="preserve"> NUMPAGES \* ARABIC </w:instrText>
    </w:r>
    <w:r w:rsidRPr="004A12B7">
      <w:rPr>
        <w:rStyle w:val="Numeropagina"/>
        <w:rFonts w:ascii="Verdana" w:hAnsi="Verdana"/>
        <w:sz w:val="18"/>
      </w:rPr>
      <w:fldChar w:fldCharType="separate"/>
    </w:r>
    <w:r w:rsidR="007051C5">
      <w:rPr>
        <w:rStyle w:val="Numeropagina"/>
        <w:rFonts w:ascii="Verdana" w:hAnsi="Verdana"/>
        <w:noProof/>
        <w:sz w:val="18"/>
      </w:rPr>
      <w:t>69</w:t>
    </w:r>
    <w:r w:rsidRPr="004A12B7">
      <w:rPr>
        <w:rStyle w:val="Numeropagina"/>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C5FD" w14:textId="77777777" w:rsidR="00563515" w:rsidRDefault="00563515">
      <w:pPr>
        <w:spacing w:after="0" w:line="240" w:lineRule="auto"/>
      </w:pPr>
      <w:r>
        <w:separator/>
      </w:r>
    </w:p>
  </w:footnote>
  <w:footnote w:type="continuationSeparator" w:id="0">
    <w:p w14:paraId="3D81C350" w14:textId="77777777" w:rsidR="00563515" w:rsidRDefault="00563515">
      <w:pPr>
        <w:spacing w:after="0" w:line="240" w:lineRule="auto"/>
      </w:pPr>
      <w:r>
        <w:continuationSeparator/>
      </w:r>
    </w:p>
  </w:footnote>
  <w:footnote w:id="1">
    <w:p w14:paraId="6DD0A95E" w14:textId="77777777" w:rsidR="00E907BB" w:rsidRPr="0055141A" w:rsidRDefault="00E907BB" w:rsidP="00E907BB">
      <w:pPr>
        <w:pStyle w:val="Testonotaapidipagina"/>
        <w:rPr>
          <w:rFonts w:ascii="Verdana" w:hAnsi="Verdana"/>
          <w:sz w:val="18"/>
          <w:szCs w:val="18"/>
        </w:rPr>
      </w:pPr>
      <w:r w:rsidRPr="0055141A">
        <w:rPr>
          <w:rStyle w:val="Caratterinotaapidipagina"/>
          <w:rFonts w:ascii="Verdana" w:hAnsi="Verdana"/>
          <w:sz w:val="18"/>
          <w:szCs w:val="18"/>
        </w:rPr>
        <w:footnoteRef/>
      </w:r>
      <w:r w:rsidRPr="0055141A">
        <w:rPr>
          <w:rFonts w:ascii="Verdana" w:hAnsi="Verdana"/>
          <w:sz w:val="18"/>
          <w:szCs w:val="18"/>
        </w:rPr>
        <w:t xml:space="preserve"> Delibera di Giunta della Regione Emilia-Romagna </w:t>
      </w:r>
      <w:r w:rsidRPr="00CD66AD">
        <w:rPr>
          <w:rFonts w:ascii="Verdana" w:hAnsi="Verdana"/>
          <w:sz w:val="18"/>
          <w:szCs w:val="18"/>
        </w:rPr>
        <w:t>n. 1956 del 13 novembre 2023</w:t>
      </w:r>
      <w:r w:rsidRPr="0055141A">
        <w:rPr>
          <w:rFonts w:ascii="Verdana" w:hAnsi="Verdana"/>
          <w:sz w:val="18"/>
          <w:szCs w:val="18"/>
        </w:rPr>
        <w:t xml:space="preserve"> </w:t>
      </w:r>
    </w:p>
  </w:footnote>
  <w:footnote w:id="2">
    <w:p w14:paraId="78FE67CB" w14:textId="77777777" w:rsidR="000701FF" w:rsidRPr="0055141A" w:rsidRDefault="000701FF" w:rsidP="00573A70">
      <w:pPr>
        <w:pStyle w:val="Testonotaapidipagina"/>
        <w:jc w:val="both"/>
        <w:rPr>
          <w:rFonts w:ascii="Verdana" w:hAnsi="Verdana"/>
          <w:sz w:val="18"/>
          <w:szCs w:val="18"/>
        </w:rPr>
      </w:pPr>
      <w:r w:rsidRPr="0055141A">
        <w:rPr>
          <w:rStyle w:val="Rimandonotaapidipagina"/>
          <w:rFonts w:ascii="Verdana" w:hAnsi="Verdana"/>
          <w:sz w:val="18"/>
          <w:szCs w:val="18"/>
        </w:rPr>
        <w:footnoteRef/>
      </w:r>
      <w:r w:rsidRPr="0055141A">
        <w:rPr>
          <w:rFonts w:ascii="Verdana" w:hAnsi="Verdana"/>
          <w:sz w:val="18"/>
          <w:szCs w:val="18"/>
        </w:rPr>
        <w:t xml:space="preserve"> Il Comitato Consultivo Misto è un organismo consultivo atto a promuovere l’attiva partecipazione e la fattiva collaborazione tra l’organizzazione sanitaria ed i Cittadini/Utenti, in riferimento ai momenti di verifica del livello delle prestazioni erogate e di valutazione della qualità dal lato dell’utenza. Ha una durata triennale ed è stato rinnovato nel corso del 202</w:t>
      </w:r>
      <w:r w:rsidR="00457722">
        <w:rPr>
          <w:rFonts w:ascii="Verdana" w:hAnsi="Verdana"/>
          <w:sz w:val="18"/>
          <w:szCs w:val="18"/>
        </w:rPr>
        <w:t>4</w:t>
      </w:r>
      <w:r w:rsidRPr="0055141A">
        <w:rPr>
          <w:rFonts w:ascii="Verdana" w:hAnsi="Verdana"/>
          <w:sz w:val="18"/>
          <w:szCs w:val="18"/>
        </w:rPr>
        <w:t>, con la partecipazione di 11 rappresentanti del Terzo Settore, due rappresentanti dei servizi territoriali e 5 componenti rappresentanti l’Ospedale.</w:t>
      </w:r>
    </w:p>
  </w:footnote>
  <w:footnote w:id="3">
    <w:p w14:paraId="29214D5A" w14:textId="77777777" w:rsidR="005A1F8D" w:rsidRDefault="00614DC6" w:rsidP="00275AB5">
      <w:pPr>
        <w:pStyle w:val="Testonotaapidipagina"/>
        <w:jc w:val="both"/>
        <w:rPr>
          <w:rFonts w:ascii="Verdana" w:hAnsi="Verdana"/>
          <w:sz w:val="18"/>
          <w:szCs w:val="18"/>
        </w:rPr>
      </w:pPr>
      <w:r w:rsidRPr="00BD4F85">
        <w:rPr>
          <w:rStyle w:val="Caratterinotaapidipagina"/>
          <w:rFonts w:ascii="Verdana" w:hAnsi="Verdana"/>
          <w:sz w:val="18"/>
          <w:szCs w:val="18"/>
        </w:rPr>
        <w:footnoteRef/>
      </w:r>
      <w:r w:rsidRPr="00BD4F85">
        <w:rPr>
          <w:rFonts w:ascii="Verdana" w:hAnsi="Verdana"/>
          <w:sz w:val="18"/>
          <w:szCs w:val="18"/>
        </w:rPr>
        <w:t xml:space="preserve"> Capitolo 4 “Principi generali sulla figura del RPCT nelle società a controllo pubblico e altri enti di diritto privato ad esse assimilati” – Allegato n. 3 PNA 2022</w:t>
      </w:r>
      <w:r w:rsidR="00C02C56">
        <w:rPr>
          <w:rFonts w:ascii="Verdana" w:hAnsi="Verdana"/>
          <w:sz w:val="18"/>
          <w:szCs w:val="18"/>
        </w:rPr>
        <w:t>.</w:t>
      </w:r>
    </w:p>
    <w:p w14:paraId="0B3255C2" w14:textId="159E6F80" w:rsidR="00C02C56" w:rsidRPr="00C02C56" w:rsidRDefault="00C02C56" w:rsidP="00275AB5">
      <w:pPr>
        <w:pStyle w:val="Testonotaapidipagina"/>
        <w:jc w:val="both"/>
        <w:rPr>
          <w:rFonts w:ascii="Verdana" w:hAnsi="Verdana"/>
          <w:sz w:val="18"/>
          <w:szCs w:val="18"/>
        </w:rPr>
      </w:pPr>
      <w:r w:rsidRPr="005A1F8D">
        <w:rPr>
          <w:rFonts w:ascii="Verdana" w:hAnsi="Verdana"/>
          <w:sz w:val="18"/>
          <w:szCs w:val="18"/>
        </w:rPr>
        <w:t xml:space="preserve">Parere </w:t>
      </w:r>
      <w:r w:rsidR="00275AB5">
        <w:rPr>
          <w:rFonts w:ascii="Verdana" w:hAnsi="Verdana"/>
          <w:sz w:val="18"/>
          <w:szCs w:val="18"/>
        </w:rPr>
        <w:t xml:space="preserve">anticorruzione </w:t>
      </w:r>
      <w:r w:rsidRPr="005A1F8D">
        <w:rPr>
          <w:rFonts w:ascii="Verdana" w:hAnsi="Verdana"/>
          <w:sz w:val="18"/>
          <w:szCs w:val="18"/>
        </w:rPr>
        <w:t>del 3 giugno 2025 -</w:t>
      </w:r>
      <w:r w:rsidRPr="00C02C56">
        <w:rPr>
          <w:rFonts w:ascii="Verdana" w:hAnsi="Verdana"/>
          <w:sz w:val="18"/>
          <w:szCs w:val="18"/>
        </w:rPr>
        <w:t xml:space="preserve"> (</w:t>
      </w:r>
      <w:proofErr w:type="spellStart"/>
      <w:r w:rsidRPr="00C02C56">
        <w:rPr>
          <w:rFonts w:ascii="Verdana" w:hAnsi="Verdana"/>
          <w:sz w:val="18"/>
          <w:szCs w:val="18"/>
        </w:rPr>
        <w:t>rif.</w:t>
      </w:r>
      <w:proofErr w:type="spellEnd"/>
      <w:r w:rsidRPr="00C02C56">
        <w:rPr>
          <w:rFonts w:ascii="Verdana" w:hAnsi="Verdana"/>
          <w:sz w:val="18"/>
          <w:szCs w:val="18"/>
        </w:rPr>
        <w:t xml:space="preserve"> prot. Anac n. 73959 del 16.05.2025)</w:t>
      </w:r>
      <w:r w:rsidR="005A1F8D">
        <w:rPr>
          <w:rFonts w:ascii="Verdana" w:hAnsi="Verdana"/>
          <w:sz w:val="18"/>
          <w:szCs w:val="18"/>
        </w:rPr>
        <w:t xml:space="preserve"> </w:t>
      </w:r>
      <w:r w:rsidRPr="00C02C56">
        <w:rPr>
          <w:rFonts w:ascii="Verdana" w:hAnsi="Verdana"/>
          <w:sz w:val="18"/>
          <w:szCs w:val="18"/>
        </w:rPr>
        <w:t>Fascicolo n. 2129/2025</w:t>
      </w:r>
      <w:r w:rsidR="005A1F8D">
        <w:rPr>
          <w:rFonts w:ascii="Verdana" w:hAnsi="Verdana"/>
          <w:sz w:val="18"/>
          <w:szCs w:val="18"/>
        </w:rPr>
        <w:t>.</w:t>
      </w:r>
    </w:p>
    <w:p w14:paraId="52E0BF45" w14:textId="2510BCFC" w:rsidR="00614DC6" w:rsidRPr="00BD4F85" w:rsidRDefault="00614DC6" w:rsidP="00614DC6">
      <w:pPr>
        <w:pStyle w:val="Testonotaapidipagina"/>
        <w:rPr>
          <w:rFonts w:ascii="Verdana" w:hAnsi="Verdana"/>
          <w:sz w:val="18"/>
          <w:szCs w:val="18"/>
        </w:rPr>
      </w:pPr>
    </w:p>
  </w:footnote>
  <w:footnote w:id="4">
    <w:p w14:paraId="1316A2E5" w14:textId="77777777" w:rsidR="000701FF" w:rsidRPr="00C03317" w:rsidRDefault="000701FF" w:rsidP="00C03317">
      <w:pPr>
        <w:spacing w:after="0" w:line="240" w:lineRule="auto"/>
        <w:contextualSpacing/>
        <w:jc w:val="both"/>
        <w:rPr>
          <w:rFonts w:ascii="Verdana" w:hAnsi="Verdana"/>
          <w:sz w:val="18"/>
          <w:szCs w:val="18"/>
        </w:rPr>
      </w:pPr>
      <w:r>
        <w:rPr>
          <w:rStyle w:val="Rimandonotaapidipagina"/>
        </w:rPr>
        <w:footnoteRef/>
      </w:r>
      <w:r>
        <w:t xml:space="preserve"> </w:t>
      </w:r>
      <w:r w:rsidRPr="00C03317">
        <w:rPr>
          <w:rFonts w:ascii="Verdana" w:hAnsi="Verdana"/>
          <w:sz w:val="18"/>
          <w:szCs w:val="18"/>
        </w:rPr>
        <w:t>La Rete per l’Integrità e la Trasparenza si è costituita ai sensi dell’art. 15, L.R. 18 del 28.10.2016 al fine di: - condividere esperienze e attività di prevenzione messe in campo con i rispettivi piani triennali di prevenzione della corruzione; - organizzare attività comuni di formazione, con particolare attenzione ai settori a rischio corruzione; - confrontare e condividere valutazioni e proposte tra istituzioni, associazioni e cittadini.</w:t>
      </w:r>
    </w:p>
    <w:p w14:paraId="6673E316" w14:textId="77777777" w:rsidR="000701FF" w:rsidRPr="00C03317" w:rsidRDefault="000701FF" w:rsidP="00C03317">
      <w:pPr>
        <w:spacing w:after="0" w:line="240" w:lineRule="auto"/>
        <w:contextualSpacing/>
        <w:jc w:val="both"/>
        <w:rPr>
          <w:rFonts w:ascii="Verdana" w:hAnsi="Verdana"/>
          <w:sz w:val="18"/>
          <w:szCs w:val="18"/>
        </w:rPr>
      </w:pPr>
      <w:r w:rsidRPr="00C03317">
        <w:rPr>
          <w:rFonts w:ascii="Verdana" w:hAnsi="Verdana"/>
          <w:sz w:val="18"/>
          <w:szCs w:val="18"/>
        </w:rPr>
        <w:t xml:space="preserve">L’ultimo rinnovo dei componenti del tavolo di coordinamento della Rete per l’Integrità e la Trasparenza è avvenuto con Determinazione n. 894 del 20.01.2022 della Giunta Regionale. </w:t>
      </w:r>
    </w:p>
    <w:p w14:paraId="06DBB02B" w14:textId="77777777" w:rsidR="000701FF" w:rsidRPr="00C03317" w:rsidRDefault="000701FF" w:rsidP="00C03317">
      <w:pPr>
        <w:spacing w:after="0" w:line="240" w:lineRule="auto"/>
        <w:contextualSpacing/>
        <w:jc w:val="both"/>
        <w:rPr>
          <w:rFonts w:ascii="Verdana" w:hAnsi="Verdana"/>
          <w:sz w:val="18"/>
          <w:szCs w:val="18"/>
        </w:rPr>
      </w:pPr>
      <w:r w:rsidRPr="00C03317">
        <w:rPr>
          <w:rFonts w:ascii="Verdana" w:hAnsi="Verdana"/>
          <w:sz w:val="18"/>
          <w:szCs w:val="18"/>
        </w:rPr>
        <w:t>Aderiscono attualmente alla rete più di duecento</w:t>
      </w:r>
      <w:r w:rsidR="00F92F18">
        <w:rPr>
          <w:rFonts w:ascii="Verdana" w:hAnsi="Verdana"/>
          <w:sz w:val="18"/>
          <w:szCs w:val="18"/>
        </w:rPr>
        <w:t>cinquanta</w:t>
      </w:r>
      <w:r w:rsidRPr="00C03317">
        <w:rPr>
          <w:rFonts w:ascii="Verdana" w:hAnsi="Verdana"/>
          <w:sz w:val="18"/>
          <w:szCs w:val="18"/>
        </w:rPr>
        <w:t xml:space="preserve"> enti del territorio regionale.</w:t>
      </w:r>
    </w:p>
    <w:p w14:paraId="350207B0" w14:textId="77777777" w:rsidR="000701FF" w:rsidRDefault="000701FF">
      <w:pPr>
        <w:pStyle w:val="Testonotaapidipagina"/>
      </w:pPr>
    </w:p>
  </w:footnote>
  <w:footnote w:id="5">
    <w:p w14:paraId="1D758814" w14:textId="77777777" w:rsidR="002A5B72" w:rsidRDefault="002A5B72" w:rsidP="002A5B72">
      <w:pPr>
        <w:pStyle w:val="Testonotaapidipagina"/>
      </w:pPr>
      <w:r w:rsidRPr="0056545E">
        <w:rPr>
          <w:rFonts w:ascii="Verdana" w:hAnsi="Verdana"/>
          <w:sz w:val="18"/>
          <w:szCs w:val="18"/>
        </w:rPr>
        <w:footnoteRef/>
      </w:r>
      <w:r w:rsidRPr="0056545E">
        <w:rPr>
          <w:rFonts w:ascii="Verdana" w:hAnsi="Verdana"/>
          <w:sz w:val="18"/>
          <w:szCs w:val="18"/>
        </w:rPr>
        <w:t xml:space="preserve"> </w:t>
      </w:r>
      <w:r>
        <w:rPr>
          <w:rFonts w:ascii="Verdana" w:hAnsi="Verdana"/>
          <w:sz w:val="18"/>
          <w:szCs w:val="18"/>
        </w:rPr>
        <w:t xml:space="preserve">Il “MOG 231” di MRI è pubblicato sul sito istituzionale ed è consultabile accedendo al link </w:t>
      </w:r>
      <w:hyperlink r:id="rId1" w:history="1">
        <w:r>
          <w:rPr>
            <w:rStyle w:val="Collegamentoipertestuale"/>
          </w:rPr>
          <w:t>Modello organizzativo 231 - Istituto Montecatone</w:t>
        </w:r>
      </w:hyperlink>
      <w:r>
        <w:rPr>
          <w:rFonts w:ascii="Verdana" w:hAnsi="Verdana"/>
          <w:sz w:val="18"/>
          <w:szCs w:val="18"/>
        </w:rPr>
        <w:t xml:space="preserve"> </w:t>
      </w:r>
    </w:p>
  </w:footnote>
  <w:footnote w:id="6">
    <w:p w14:paraId="40F218CB" w14:textId="77777777" w:rsidR="006445C1" w:rsidRPr="0055141A" w:rsidRDefault="006445C1" w:rsidP="006445C1">
      <w:pPr>
        <w:pStyle w:val="Testonotaapidipagina"/>
        <w:rPr>
          <w:rFonts w:ascii="Verdana" w:hAnsi="Verdana"/>
          <w:sz w:val="18"/>
          <w:szCs w:val="18"/>
        </w:rPr>
      </w:pPr>
      <w:r w:rsidRPr="0055141A">
        <w:rPr>
          <w:rStyle w:val="Caratterinotaapidipagina"/>
          <w:rFonts w:ascii="Verdana" w:hAnsi="Verdana"/>
          <w:sz w:val="18"/>
          <w:szCs w:val="18"/>
        </w:rPr>
        <w:footnoteRef/>
      </w:r>
      <w:r>
        <w:rPr>
          <w:rFonts w:ascii="Arial" w:eastAsia="Calibri" w:hAnsi="Arial" w:cs="Arial"/>
          <w:color w:val="000000"/>
          <w:sz w:val="24"/>
          <w:szCs w:val="24"/>
        </w:rPr>
        <w:t xml:space="preserve"> </w:t>
      </w:r>
      <w:hyperlink r:id="rId2" w:history="1">
        <w:r w:rsidRPr="006445C1">
          <w:rPr>
            <w:rStyle w:val="Collegamentoipertestuale"/>
            <w:rFonts w:cs="Arial"/>
          </w:rPr>
          <w:t>https://www.anticorruzione.it/-/news.11.07.24.rotazione.incarichi.sanita</w:t>
        </w:r>
      </w:hyperlink>
      <w:r w:rsidRPr="0055141A">
        <w:rPr>
          <w:rFonts w:ascii="Verdana" w:hAnsi="Verdana"/>
          <w:sz w:val="18"/>
          <w:szCs w:val="18"/>
        </w:rPr>
        <w:t xml:space="preserve"> </w:t>
      </w:r>
    </w:p>
  </w:footnote>
  <w:footnote w:id="7">
    <w:p w14:paraId="22AE000F" w14:textId="77777777" w:rsidR="00004CC7" w:rsidRPr="00004CC7" w:rsidRDefault="00004CC7" w:rsidP="00004CC7">
      <w:pPr>
        <w:pStyle w:val="Testonotaapidipagina"/>
        <w:rPr>
          <w:rFonts w:ascii="Verdana" w:hAnsi="Verdana"/>
          <w:sz w:val="18"/>
          <w:szCs w:val="18"/>
        </w:rPr>
      </w:pPr>
      <w:r w:rsidRPr="0055141A">
        <w:rPr>
          <w:rStyle w:val="Caratterinotaapidipagina"/>
          <w:rFonts w:ascii="Verdana" w:hAnsi="Verdana"/>
          <w:sz w:val="18"/>
          <w:szCs w:val="18"/>
        </w:rPr>
        <w:footnoteRef/>
      </w:r>
      <w:r>
        <w:rPr>
          <w:rFonts w:ascii="Arial" w:eastAsia="Calibri" w:hAnsi="Arial" w:cs="Arial"/>
          <w:color w:val="000000"/>
          <w:sz w:val="24"/>
          <w:szCs w:val="24"/>
        </w:rPr>
        <w:t xml:space="preserve"> </w:t>
      </w:r>
      <w:r w:rsidRPr="00004CC7">
        <w:rPr>
          <w:rStyle w:val="Collegamentoipertestuale"/>
          <w:rFonts w:cs="Arial"/>
          <w:color w:val="auto"/>
          <w:u w:val="none"/>
        </w:rPr>
        <w:t>Prot. 15/03/</w:t>
      </w:r>
      <w:proofErr w:type="gramStart"/>
      <w:r w:rsidRPr="00004CC7">
        <w:rPr>
          <w:rStyle w:val="Collegamentoipertestuale"/>
          <w:rFonts w:cs="Arial"/>
          <w:color w:val="auto"/>
          <w:u w:val="none"/>
        </w:rPr>
        <w:t>2024.0282536.U</w:t>
      </w:r>
      <w:proofErr w:type="gramEnd"/>
      <w:r w:rsidRPr="00004CC7">
        <w:rPr>
          <w:rStyle w:val="Collegamentoipertestuale"/>
          <w:rFonts w:cs="Arial"/>
          <w:color w:val="auto"/>
          <w:u w:val="none"/>
        </w:rPr>
        <w:t xml:space="preserve"> e Prot. 23/10/</w:t>
      </w:r>
      <w:proofErr w:type="gramStart"/>
      <w:r w:rsidRPr="00004CC7">
        <w:rPr>
          <w:rStyle w:val="Collegamentoipertestuale"/>
          <w:rFonts w:cs="Arial"/>
          <w:color w:val="auto"/>
          <w:u w:val="none"/>
        </w:rPr>
        <w:t>2024.1198343.U</w:t>
      </w:r>
      <w:proofErr w:type="gramEnd"/>
      <w:r w:rsidRPr="00004CC7">
        <w:rPr>
          <w:rStyle w:val="Collegamentoipertestuale"/>
          <w:rFonts w:cs="Arial"/>
          <w:color w:val="auto"/>
          <w:u w:val="none"/>
        </w:rPr>
        <w:t xml:space="preserve"> avente ad oggetto: Atti e documenti da pubblicare in “amministrazione trasparente” – sottosezione “Bandi di gara e contratti”.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4194" w14:textId="77777777" w:rsidR="000701FF" w:rsidRDefault="000701FF">
    <w:pPr>
      <w:pStyle w:val="Intestazione"/>
    </w:pPr>
  </w:p>
  <w:p w14:paraId="7FF0D408" w14:textId="77777777" w:rsidR="000701FF" w:rsidRDefault="000701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0E6F" w14:textId="59811B79" w:rsidR="000701FF" w:rsidRPr="00CC4646" w:rsidRDefault="00790D37" w:rsidP="00CC4646">
    <w:pPr>
      <w:pStyle w:val="Intestazione"/>
      <w:tabs>
        <w:tab w:val="left" w:pos="7620"/>
      </w:tabs>
      <w:rPr>
        <w:lang w:val="it-IT"/>
      </w:rPr>
    </w:pPr>
    <w:r>
      <w:rPr>
        <w:noProof/>
      </w:rPr>
      <w:drawing>
        <wp:anchor distT="0" distB="0" distL="114935" distR="114935" simplePos="0" relativeHeight="251657728" behindDoc="0" locked="0" layoutInCell="1" allowOverlap="1" wp14:anchorId="7EC81733" wp14:editId="7E9FF4D9">
          <wp:simplePos x="0" y="0"/>
          <wp:positionH relativeFrom="column">
            <wp:posOffset>4622800</wp:posOffset>
          </wp:positionH>
          <wp:positionV relativeFrom="paragraph">
            <wp:posOffset>300990</wp:posOffset>
          </wp:positionV>
          <wp:extent cx="1414145" cy="508635"/>
          <wp:effectExtent l="0" t="0" r="0" b="0"/>
          <wp:wrapTopAndBottom/>
          <wp:docPr id="16978003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l="-206" t="-616" r="-206" b="-616"/>
                  <a:stretch>
                    <a:fillRect/>
                  </a:stretch>
                </pic:blipFill>
                <pic:spPr bwMode="auto">
                  <a:xfrm>
                    <a:off x="0" y="0"/>
                    <a:ext cx="1414145" cy="5086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x-none"/>
      </w:rPr>
      <w:drawing>
        <wp:inline distT="0" distB="0" distL="0" distR="0" wp14:anchorId="5D2EF743" wp14:editId="4C753522">
          <wp:extent cx="3001645" cy="9639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65" t="-519" r="-165" b="-519"/>
                  <a:stretch>
                    <a:fillRect/>
                  </a:stretch>
                </pic:blipFill>
                <pic:spPr bwMode="auto">
                  <a:xfrm>
                    <a:off x="0" y="0"/>
                    <a:ext cx="3001645" cy="96393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340"/>
        </w:tabs>
        <w:ind w:left="700" w:hanging="360"/>
      </w:pPr>
      <w:rPr>
        <w:rFonts w:ascii="Times New Roman" w:hAnsi="Times New Roman" w:cs="Times New Roman"/>
      </w:rPr>
    </w:lvl>
    <w:lvl w:ilvl="1">
      <w:start w:val="1"/>
      <w:numFmt w:val="none"/>
      <w:suff w:val="nothing"/>
      <w:lvlText w:val=""/>
      <w:lvlJc w:val="left"/>
      <w:pPr>
        <w:tabs>
          <w:tab w:val="num" w:pos="340"/>
        </w:tabs>
        <w:ind w:left="340" w:firstLine="0"/>
      </w:pPr>
    </w:lvl>
    <w:lvl w:ilvl="2">
      <w:start w:val="1"/>
      <w:numFmt w:val="none"/>
      <w:suff w:val="nothing"/>
      <w:lvlText w:val=""/>
      <w:lvlJc w:val="left"/>
      <w:pPr>
        <w:tabs>
          <w:tab w:val="num" w:pos="340"/>
        </w:tabs>
        <w:ind w:left="340" w:firstLine="0"/>
      </w:pPr>
    </w:lvl>
    <w:lvl w:ilvl="3">
      <w:start w:val="1"/>
      <w:numFmt w:val="none"/>
      <w:suff w:val="nothing"/>
      <w:lvlText w:val=""/>
      <w:lvlJc w:val="left"/>
      <w:pPr>
        <w:tabs>
          <w:tab w:val="num" w:pos="340"/>
        </w:tabs>
        <w:ind w:left="340" w:firstLine="0"/>
      </w:pPr>
    </w:lvl>
    <w:lvl w:ilvl="4">
      <w:start w:val="1"/>
      <w:numFmt w:val="none"/>
      <w:suff w:val="nothing"/>
      <w:lvlText w:val=""/>
      <w:lvlJc w:val="left"/>
      <w:pPr>
        <w:tabs>
          <w:tab w:val="num" w:pos="340"/>
        </w:tabs>
        <w:ind w:left="340" w:firstLine="0"/>
      </w:pPr>
    </w:lvl>
    <w:lvl w:ilvl="5">
      <w:start w:val="1"/>
      <w:numFmt w:val="none"/>
      <w:suff w:val="nothing"/>
      <w:lvlText w:val=""/>
      <w:lvlJc w:val="left"/>
      <w:pPr>
        <w:tabs>
          <w:tab w:val="num" w:pos="340"/>
        </w:tabs>
        <w:ind w:left="340" w:firstLine="0"/>
      </w:pPr>
    </w:lvl>
    <w:lvl w:ilvl="6">
      <w:start w:val="1"/>
      <w:numFmt w:val="none"/>
      <w:suff w:val="nothing"/>
      <w:lvlText w:val=""/>
      <w:lvlJc w:val="left"/>
      <w:pPr>
        <w:tabs>
          <w:tab w:val="num" w:pos="340"/>
        </w:tabs>
        <w:ind w:left="340" w:firstLine="0"/>
      </w:pPr>
    </w:lvl>
    <w:lvl w:ilvl="7">
      <w:start w:val="1"/>
      <w:numFmt w:val="none"/>
      <w:suff w:val="nothing"/>
      <w:lvlText w:val=""/>
      <w:lvlJc w:val="left"/>
      <w:pPr>
        <w:tabs>
          <w:tab w:val="num" w:pos="340"/>
        </w:tabs>
        <w:ind w:left="340" w:firstLine="0"/>
      </w:pPr>
    </w:lvl>
    <w:lvl w:ilvl="8">
      <w:start w:val="1"/>
      <w:numFmt w:val="none"/>
      <w:suff w:val="nothing"/>
      <w:lvlText w:val=""/>
      <w:lvlJc w:val="left"/>
      <w:pPr>
        <w:tabs>
          <w:tab w:val="num" w:pos="340"/>
        </w:tabs>
        <w:ind w:left="34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000000"/>
        <w:sz w:val="24"/>
        <w:szCs w:val="24"/>
        <w:highlight w:val="yellow"/>
        <w:lang w:val="it-IT" w:eastAsia="zh-CN" w:bidi="ar-SA"/>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Calibri" w:hAnsi="Calibri" w:cs="Calibri"/>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color w:val="000000"/>
        <w:sz w:val="24"/>
        <w:szCs w:val="24"/>
        <w:highlight w:val="yellow"/>
        <w:lang w:val="it-IT" w:eastAsia="it-IT" w:bidi="ar-SA"/>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4"/>
        <w:szCs w:val="24"/>
        <w:lang w:eastAsia="it-I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Calibri" w:hAnsi="Calibri" w:cs="Times New Roman"/>
        <w:sz w:val="24"/>
        <w:szCs w:val="24"/>
        <w:lang w:eastAsia="it-IT"/>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color w:val="000000"/>
        <w:sz w:val="24"/>
        <w:szCs w:val="24"/>
        <w:highlight w:val="lightGray"/>
        <w:shd w:val="clear" w:color="auto" w:fill="auto"/>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Calibri" w:hAnsi="Calibri" w:cs="Times New Roman"/>
        <w:color w:val="000000"/>
        <w:sz w:val="24"/>
        <w:szCs w:val="24"/>
        <w:highlight w:val="lightGray"/>
        <w:lang w:val="it-IT" w:eastAsia="zh-CN" w:bidi="ar-SA"/>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z w:val="24"/>
        <w:szCs w:val="24"/>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4"/>
        <w:szCs w:val="24"/>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Times New Roman" w:hAnsi="Times New Roman" w:cs="Times New Roman"/>
        <w:sz w:val="24"/>
        <w:szCs w:val="24"/>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sz w:val="24"/>
        <w:szCs w:val="24"/>
      </w:rPr>
    </w:lvl>
  </w:abstractNum>
  <w:abstractNum w:abstractNumId="14" w15:restartNumberingAfterBreak="0">
    <w:nsid w:val="0000000F"/>
    <w:multiLevelType w:val="multilevel"/>
    <w:tmpl w:val="0000000F"/>
    <w:name w:val="WW8Num15"/>
    <w:lvl w:ilvl="0">
      <w:start w:val="6"/>
      <w:numFmt w:val="decimal"/>
      <w:lvlText w:val="%1."/>
      <w:lvlJc w:val="left"/>
      <w:pPr>
        <w:tabs>
          <w:tab w:val="num" w:pos="0"/>
        </w:tabs>
        <w:ind w:left="1004" w:hanging="360"/>
      </w:pPr>
      <w:rPr>
        <w:rFonts w:cs="Times New Roman"/>
        <w:color w:val="000000"/>
        <w:sz w:val="23"/>
        <w:u w:val="none"/>
      </w:rPr>
    </w:lvl>
    <w:lvl w:ilvl="1">
      <w:start w:val="1"/>
      <w:numFmt w:val="lowerLetter"/>
      <w:lvlText w:val="%2."/>
      <w:lvlJc w:val="left"/>
      <w:pPr>
        <w:tabs>
          <w:tab w:val="num" w:pos="0"/>
        </w:tabs>
        <w:ind w:left="1724" w:hanging="360"/>
      </w:pPr>
      <w:rPr>
        <w:rFonts w:cs="Times New Roman"/>
      </w:rPr>
    </w:lvl>
    <w:lvl w:ilvl="2">
      <w:start w:val="1"/>
      <w:numFmt w:val="bullet"/>
      <w:lvlText w:val="-"/>
      <w:lvlJc w:val="left"/>
      <w:pPr>
        <w:tabs>
          <w:tab w:val="num" w:pos="2624"/>
        </w:tabs>
        <w:ind w:left="2624" w:hanging="360"/>
      </w:pPr>
      <w:rPr>
        <w:rFonts w:ascii="Times New Roman" w:hAnsi="Times New Roman" w:cs="Times New Roman"/>
        <w:color w:val="000000"/>
        <w:sz w:val="23"/>
        <w:szCs w:val="24"/>
        <w:u w:val="none"/>
        <w:lang w:eastAsia="ja-JP"/>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sz w:val="24"/>
        <w:szCs w:val="24"/>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sz w:val="24"/>
        <w:szCs w:val="24"/>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4"/>
        <w:szCs w:val="24"/>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4"/>
        <w:szCs w:val="24"/>
      </w:rPr>
    </w:lvl>
    <w:lvl w:ilvl="8">
      <w:start w:val="1"/>
      <w:numFmt w:val="bullet"/>
      <w:lvlText w:val=""/>
      <w:lvlJc w:val="left"/>
      <w:pPr>
        <w:tabs>
          <w:tab w:val="num" w:pos="6480"/>
        </w:tabs>
        <w:ind w:left="6480" w:hanging="360"/>
      </w:pPr>
      <w:rPr>
        <w:rFonts w:ascii="Wingdings" w:hAnsi="Wingdings" w:cs="Wingdings"/>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sz w:val="24"/>
        <w:szCs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sz w:val="24"/>
        <w:szCs w:val="24"/>
        <w:highlight w:val="red"/>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Times New Roman" w:hAnsi="Times New Roman" w:cs="Times New Roman"/>
        <w:sz w:val="24"/>
        <w:szCs w:val="24"/>
        <w:shd w:val="clear" w:color="auto" w:fill="CCCCCC"/>
        <w:lang w:eastAsia="it-IT"/>
      </w:rPr>
    </w:lvl>
  </w:abstractNum>
  <w:abstractNum w:abstractNumId="2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sz w:val="24"/>
        <w:szCs w:val="24"/>
        <w:highlight w:val="yellow"/>
        <w:lang w:eastAsia="ja-JP"/>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highlight w:val="yellow"/>
        <w:lang w:eastAsia="ja-JP"/>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highlight w:val="yellow"/>
        <w:lang w:eastAsia="ja-JP"/>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color w:val="000000"/>
        <w:sz w:val="24"/>
        <w:szCs w:val="24"/>
        <w:shd w:val="clear" w:color="auto" w:fill="FFFF66"/>
        <w:lang w:val="it-IT" w:eastAsia="it-IT"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FFFF66"/>
        <w:lang w:val="it-IT" w:eastAsia="it-IT"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FFFF66"/>
        <w:lang w:val="it-IT" w:eastAsia="it-IT"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46D014B"/>
    <w:multiLevelType w:val="hybridMultilevel"/>
    <w:tmpl w:val="AB960A6E"/>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6" w15:restartNumberingAfterBreak="0">
    <w:nsid w:val="127F46DC"/>
    <w:multiLevelType w:val="hybridMultilevel"/>
    <w:tmpl w:val="4768AE96"/>
    <w:lvl w:ilvl="0" w:tplc="D1540816">
      <w:start w:val="1"/>
      <w:numFmt w:val="bullet"/>
      <w:lvlText w:val=""/>
      <w:lvlJc w:val="left"/>
      <w:pPr>
        <w:ind w:left="144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8C6075C"/>
    <w:multiLevelType w:val="hybridMultilevel"/>
    <w:tmpl w:val="BDC00798"/>
    <w:lvl w:ilvl="0" w:tplc="D1540816">
      <w:start w:val="1"/>
      <w:numFmt w:val="bullet"/>
      <w:lvlText w:val=""/>
      <w:lvlJc w:val="left"/>
      <w:pPr>
        <w:ind w:left="720" w:hanging="360"/>
      </w:pPr>
      <w:rPr>
        <w:rFonts w:ascii="Symbol" w:hAnsi="Symbol" w:hint="default"/>
      </w:rPr>
    </w:lvl>
    <w:lvl w:ilvl="1" w:tplc="1E3EB0D4">
      <w:start w:val="1"/>
      <w:numFmt w:val="upperLetter"/>
      <w:lvlText w:val="%2."/>
      <w:lvlJc w:val="left"/>
      <w:pPr>
        <w:ind w:left="1440" w:hanging="360"/>
      </w:pPr>
      <w:rPr>
        <w:rFonts w:hint="default"/>
        <w:b/>
        <w:strike w:val="0"/>
      </w:rPr>
    </w:lvl>
    <w:lvl w:ilvl="2" w:tplc="A170DABE">
      <w:numFmt w:val="bullet"/>
      <w:lvlText w:val="-"/>
      <w:lvlJc w:val="left"/>
      <w:pPr>
        <w:ind w:left="2160" w:hanging="360"/>
      </w:pPr>
      <w:rPr>
        <w:rFonts w:ascii="Verdana" w:eastAsia="Calibri" w:hAnsi="Verdana"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EDE4FE3"/>
    <w:multiLevelType w:val="hybridMultilevel"/>
    <w:tmpl w:val="BD40C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01C7B6F"/>
    <w:multiLevelType w:val="hybridMultilevel"/>
    <w:tmpl w:val="241482B2"/>
    <w:lvl w:ilvl="0" w:tplc="C01CAD98">
      <w:start w:val="11"/>
      <w:numFmt w:val="upperLetter"/>
      <w:lvlText w:val="%1."/>
      <w:lvlJc w:val="left"/>
      <w:pPr>
        <w:ind w:left="144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A0D5F14"/>
    <w:multiLevelType w:val="hybridMultilevel"/>
    <w:tmpl w:val="CDF85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B3135DD"/>
    <w:multiLevelType w:val="hybridMultilevel"/>
    <w:tmpl w:val="27962E62"/>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E077D9B"/>
    <w:multiLevelType w:val="hybridMultilevel"/>
    <w:tmpl w:val="F4F04480"/>
    <w:lvl w:ilvl="0" w:tplc="04100001">
      <w:start w:val="1"/>
      <w:numFmt w:val="bullet"/>
      <w:lvlText w:val=""/>
      <w:lvlJc w:val="left"/>
      <w:pPr>
        <w:ind w:left="1515" w:hanging="360"/>
      </w:pPr>
      <w:rPr>
        <w:rFonts w:ascii="Symbol" w:hAnsi="Symbol" w:hint="default"/>
      </w:rPr>
    </w:lvl>
    <w:lvl w:ilvl="1" w:tplc="04100003" w:tentative="1">
      <w:start w:val="1"/>
      <w:numFmt w:val="bullet"/>
      <w:lvlText w:val="o"/>
      <w:lvlJc w:val="left"/>
      <w:pPr>
        <w:ind w:left="2235" w:hanging="360"/>
      </w:pPr>
      <w:rPr>
        <w:rFonts w:ascii="Courier New" w:hAnsi="Courier New" w:cs="Courier New" w:hint="default"/>
      </w:rPr>
    </w:lvl>
    <w:lvl w:ilvl="2" w:tplc="04100005" w:tentative="1">
      <w:start w:val="1"/>
      <w:numFmt w:val="bullet"/>
      <w:lvlText w:val=""/>
      <w:lvlJc w:val="left"/>
      <w:pPr>
        <w:ind w:left="2955" w:hanging="360"/>
      </w:pPr>
      <w:rPr>
        <w:rFonts w:ascii="Wingdings" w:hAnsi="Wingdings" w:hint="default"/>
      </w:rPr>
    </w:lvl>
    <w:lvl w:ilvl="3" w:tplc="04100001" w:tentative="1">
      <w:start w:val="1"/>
      <w:numFmt w:val="bullet"/>
      <w:lvlText w:val=""/>
      <w:lvlJc w:val="left"/>
      <w:pPr>
        <w:ind w:left="3675" w:hanging="360"/>
      </w:pPr>
      <w:rPr>
        <w:rFonts w:ascii="Symbol" w:hAnsi="Symbol" w:hint="default"/>
      </w:rPr>
    </w:lvl>
    <w:lvl w:ilvl="4" w:tplc="04100003" w:tentative="1">
      <w:start w:val="1"/>
      <w:numFmt w:val="bullet"/>
      <w:lvlText w:val="o"/>
      <w:lvlJc w:val="left"/>
      <w:pPr>
        <w:ind w:left="4395" w:hanging="360"/>
      </w:pPr>
      <w:rPr>
        <w:rFonts w:ascii="Courier New" w:hAnsi="Courier New" w:cs="Courier New" w:hint="default"/>
      </w:rPr>
    </w:lvl>
    <w:lvl w:ilvl="5" w:tplc="04100005" w:tentative="1">
      <w:start w:val="1"/>
      <w:numFmt w:val="bullet"/>
      <w:lvlText w:val=""/>
      <w:lvlJc w:val="left"/>
      <w:pPr>
        <w:ind w:left="5115" w:hanging="360"/>
      </w:pPr>
      <w:rPr>
        <w:rFonts w:ascii="Wingdings" w:hAnsi="Wingdings" w:hint="default"/>
      </w:rPr>
    </w:lvl>
    <w:lvl w:ilvl="6" w:tplc="04100001" w:tentative="1">
      <w:start w:val="1"/>
      <w:numFmt w:val="bullet"/>
      <w:lvlText w:val=""/>
      <w:lvlJc w:val="left"/>
      <w:pPr>
        <w:ind w:left="5835" w:hanging="360"/>
      </w:pPr>
      <w:rPr>
        <w:rFonts w:ascii="Symbol" w:hAnsi="Symbol" w:hint="default"/>
      </w:rPr>
    </w:lvl>
    <w:lvl w:ilvl="7" w:tplc="04100003" w:tentative="1">
      <w:start w:val="1"/>
      <w:numFmt w:val="bullet"/>
      <w:lvlText w:val="o"/>
      <w:lvlJc w:val="left"/>
      <w:pPr>
        <w:ind w:left="6555" w:hanging="360"/>
      </w:pPr>
      <w:rPr>
        <w:rFonts w:ascii="Courier New" w:hAnsi="Courier New" w:cs="Courier New" w:hint="default"/>
      </w:rPr>
    </w:lvl>
    <w:lvl w:ilvl="8" w:tplc="04100005" w:tentative="1">
      <w:start w:val="1"/>
      <w:numFmt w:val="bullet"/>
      <w:lvlText w:val=""/>
      <w:lvlJc w:val="left"/>
      <w:pPr>
        <w:ind w:left="7275" w:hanging="360"/>
      </w:pPr>
      <w:rPr>
        <w:rFonts w:ascii="Wingdings" w:hAnsi="Wingdings" w:hint="default"/>
      </w:rPr>
    </w:lvl>
  </w:abstractNum>
  <w:abstractNum w:abstractNumId="33" w15:restartNumberingAfterBreak="0">
    <w:nsid w:val="3AF74C4C"/>
    <w:multiLevelType w:val="hybridMultilevel"/>
    <w:tmpl w:val="784C83CE"/>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DA775CE"/>
    <w:multiLevelType w:val="hybridMultilevel"/>
    <w:tmpl w:val="7C52FDA2"/>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B54CBE"/>
    <w:multiLevelType w:val="hybridMultilevel"/>
    <w:tmpl w:val="B6B0205C"/>
    <w:lvl w:ilvl="0" w:tplc="D15408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01C7B58"/>
    <w:multiLevelType w:val="hybridMultilevel"/>
    <w:tmpl w:val="71D8EEE2"/>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B51CD4"/>
    <w:multiLevelType w:val="hybridMultilevel"/>
    <w:tmpl w:val="FFF2A21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6CC7B74"/>
    <w:multiLevelType w:val="hybridMultilevel"/>
    <w:tmpl w:val="CA163C2C"/>
    <w:lvl w:ilvl="0" w:tplc="323A318A">
      <w:start w:val="5"/>
      <w:numFmt w:val="upperLetter"/>
      <w:lvlText w:val="%1."/>
      <w:lvlJc w:val="left"/>
      <w:pPr>
        <w:ind w:left="144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2276F3"/>
    <w:multiLevelType w:val="hybridMultilevel"/>
    <w:tmpl w:val="37760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3A438C"/>
    <w:multiLevelType w:val="hybridMultilevel"/>
    <w:tmpl w:val="B594963C"/>
    <w:lvl w:ilvl="0" w:tplc="D1540816">
      <w:start w:val="1"/>
      <w:numFmt w:val="bullet"/>
      <w:lvlText w:val=""/>
      <w:lvlJc w:val="left"/>
      <w:pPr>
        <w:ind w:left="720" w:hanging="360"/>
      </w:pPr>
      <w:rPr>
        <w:rFonts w:ascii="Symbol" w:hAnsi="Symbol" w:hint="default"/>
      </w:rPr>
    </w:lvl>
    <w:lvl w:ilvl="1" w:tplc="F2903052">
      <w:start w:val="1"/>
      <w:numFmt w:val="decimal"/>
      <w:lvlText w:val="%2."/>
      <w:lvlJc w:val="left"/>
      <w:pPr>
        <w:ind w:left="1440" w:hanging="360"/>
      </w:pPr>
      <w:rPr>
        <w:rFonts w:hint="default"/>
        <w:strike w:val="0"/>
        <w:dstrike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36054C"/>
    <w:multiLevelType w:val="hybridMultilevel"/>
    <w:tmpl w:val="C9E280E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32E08A9"/>
    <w:multiLevelType w:val="hybridMultilevel"/>
    <w:tmpl w:val="742C4436"/>
    <w:lvl w:ilvl="0" w:tplc="D15408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5B45624"/>
    <w:multiLevelType w:val="hybridMultilevel"/>
    <w:tmpl w:val="C136EAA6"/>
    <w:lvl w:ilvl="0" w:tplc="D154081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820355B"/>
    <w:multiLevelType w:val="hybridMultilevel"/>
    <w:tmpl w:val="42C05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F43F29"/>
    <w:multiLevelType w:val="hybridMultilevel"/>
    <w:tmpl w:val="0DB4ECD4"/>
    <w:lvl w:ilvl="0" w:tplc="31FC010E">
      <w:start w:val="1"/>
      <w:numFmt w:val="bullet"/>
      <w:lvlText w:val=""/>
      <w:lvlJc w:val="left"/>
      <w:pPr>
        <w:ind w:left="720" w:hanging="360"/>
      </w:pPr>
      <w:rPr>
        <w:rFonts w:ascii="Wingdings" w:hAnsi="Wingdings" w:cs="Symbol" w:hint="default"/>
        <w:strike w:val="0"/>
        <w:color w:val="000000"/>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36516">
    <w:abstractNumId w:val="0"/>
  </w:num>
  <w:num w:numId="2" w16cid:durableId="1314066353">
    <w:abstractNumId w:val="5"/>
  </w:num>
  <w:num w:numId="3" w16cid:durableId="1744838106">
    <w:abstractNumId w:val="42"/>
  </w:num>
  <w:num w:numId="4" w16cid:durableId="1583366563">
    <w:abstractNumId w:val="41"/>
  </w:num>
  <w:num w:numId="5" w16cid:durableId="1507597015">
    <w:abstractNumId w:val="30"/>
  </w:num>
  <w:num w:numId="6" w16cid:durableId="1899169017">
    <w:abstractNumId w:val="39"/>
  </w:num>
  <w:num w:numId="7" w16cid:durableId="850804707">
    <w:abstractNumId w:val="44"/>
  </w:num>
  <w:num w:numId="8" w16cid:durableId="734356729">
    <w:abstractNumId w:val="37"/>
  </w:num>
  <w:num w:numId="9" w16cid:durableId="2076196399">
    <w:abstractNumId w:val="40"/>
  </w:num>
  <w:num w:numId="10" w16cid:durableId="1288051116">
    <w:abstractNumId w:val="27"/>
  </w:num>
  <w:num w:numId="11" w16cid:durableId="184447005">
    <w:abstractNumId w:val="38"/>
  </w:num>
  <w:num w:numId="12" w16cid:durableId="1247107036">
    <w:abstractNumId w:val="29"/>
  </w:num>
  <w:num w:numId="13" w16cid:durableId="1779568724">
    <w:abstractNumId w:val="43"/>
  </w:num>
  <w:num w:numId="14" w16cid:durableId="609093099">
    <w:abstractNumId w:val="33"/>
  </w:num>
  <w:num w:numId="15" w16cid:durableId="324164326">
    <w:abstractNumId w:val="36"/>
  </w:num>
  <w:num w:numId="16" w16cid:durableId="2073500890">
    <w:abstractNumId w:val="34"/>
  </w:num>
  <w:num w:numId="17" w16cid:durableId="2081245341">
    <w:abstractNumId w:val="31"/>
  </w:num>
  <w:num w:numId="18" w16cid:durableId="1730223932">
    <w:abstractNumId w:val="26"/>
  </w:num>
  <w:num w:numId="19" w16cid:durableId="1531718579">
    <w:abstractNumId w:val="35"/>
  </w:num>
  <w:num w:numId="20" w16cid:durableId="1881935458">
    <w:abstractNumId w:val="45"/>
  </w:num>
  <w:num w:numId="21" w16cid:durableId="233317702">
    <w:abstractNumId w:val="28"/>
  </w:num>
  <w:num w:numId="22" w16cid:durableId="742680479">
    <w:abstractNumId w:val="25"/>
  </w:num>
  <w:num w:numId="23" w16cid:durableId="192984356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89"/>
    <w:rsid w:val="000012C7"/>
    <w:rsid w:val="0000151C"/>
    <w:rsid w:val="000022FB"/>
    <w:rsid w:val="00004141"/>
    <w:rsid w:val="00004468"/>
    <w:rsid w:val="000044CD"/>
    <w:rsid w:val="00004657"/>
    <w:rsid w:val="00004CC7"/>
    <w:rsid w:val="000053F8"/>
    <w:rsid w:val="000077E7"/>
    <w:rsid w:val="00010243"/>
    <w:rsid w:val="00010286"/>
    <w:rsid w:val="0001077E"/>
    <w:rsid w:val="00012113"/>
    <w:rsid w:val="000133A7"/>
    <w:rsid w:val="000134AC"/>
    <w:rsid w:val="000138E2"/>
    <w:rsid w:val="000144EF"/>
    <w:rsid w:val="00014A61"/>
    <w:rsid w:val="0001653A"/>
    <w:rsid w:val="00017081"/>
    <w:rsid w:val="00017686"/>
    <w:rsid w:val="0002033E"/>
    <w:rsid w:val="0002052C"/>
    <w:rsid w:val="0002171B"/>
    <w:rsid w:val="0002469D"/>
    <w:rsid w:val="0002573F"/>
    <w:rsid w:val="000265F2"/>
    <w:rsid w:val="00026971"/>
    <w:rsid w:val="000318FC"/>
    <w:rsid w:val="00031BB8"/>
    <w:rsid w:val="0003279A"/>
    <w:rsid w:val="00033984"/>
    <w:rsid w:val="00034324"/>
    <w:rsid w:val="00034F08"/>
    <w:rsid w:val="000352C9"/>
    <w:rsid w:val="00036368"/>
    <w:rsid w:val="000363AD"/>
    <w:rsid w:val="00036FE1"/>
    <w:rsid w:val="00037371"/>
    <w:rsid w:val="00037BE8"/>
    <w:rsid w:val="00040A95"/>
    <w:rsid w:val="00040DAF"/>
    <w:rsid w:val="000410E2"/>
    <w:rsid w:val="000423AF"/>
    <w:rsid w:val="00042479"/>
    <w:rsid w:val="00042F8C"/>
    <w:rsid w:val="00044A38"/>
    <w:rsid w:val="00044B8F"/>
    <w:rsid w:val="000452F2"/>
    <w:rsid w:val="00045BDE"/>
    <w:rsid w:val="000463FA"/>
    <w:rsid w:val="00046D49"/>
    <w:rsid w:val="000470F0"/>
    <w:rsid w:val="000505C8"/>
    <w:rsid w:val="00050CCC"/>
    <w:rsid w:val="00051804"/>
    <w:rsid w:val="000523CA"/>
    <w:rsid w:val="00052911"/>
    <w:rsid w:val="00052B51"/>
    <w:rsid w:val="00053932"/>
    <w:rsid w:val="000539D0"/>
    <w:rsid w:val="00053CB9"/>
    <w:rsid w:val="0005785E"/>
    <w:rsid w:val="00060289"/>
    <w:rsid w:val="000607C8"/>
    <w:rsid w:val="00060CE3"/>
    <w:rsid w:val="000615CA"/>
    <w:rsid w:val="000618DC"/>
    <w:rsid w:val="00063138"/>
    <w:rsid w:val="0006363A"/>
    <w:rsid w:val="00065794"/>
    <w:rsid w:val="000701FF"/>
    <w:rsid w:val="00070485"/>
    <w:rsid w:val="00070622"/>
    <w:rsid w:val="00072617"/>
    <w:rsid w:val="00073F7C"/>
    <w:rsid w:val="000745B2"/>
    <w:rsid w:val="000746A9"/>
    <w:rsid w:val="00074D5A"/>
    <w:rsid w:val="00075A89"/>
    <w:rsid w:val="00076A28"/>
    <w:rsid w:val="00076DF6"/>
    <w:rsid w:val="00076E4B"/>
    <w:rsid w:val="00076FFA"/>
    <w:rsid w:val="0008036A"/>
    <w:rsid w:val="00081A7A"/>
    <w:rsid w:val="00082636"/>
    <w:rsid w:val="00083FA0"/>
    <w:rsid w:val="00083FAA"/>
    <w:rsid w:val="000850D7"/>
    <w:rsid w:val="00086BD5"/>
    <w:rsid w:val="00087383"/>
    <w:rsid w:val="0008745C"/>
    <w:rsid w:val="00087EC4"/>
    <w:rsid w:val="0009088F"/>
    <w:rsid w:val="00091AD7"/>
    <w:rsid w:val="00091BFE"/>
    <w:rsid w:val="00092E5A"/>
    <w:rsid w:val="0009315F"/>
    <w:rsid w:val="000958FD"/>
    <w:rsid w:val="00097BC8"/>
    <w:rsid w:val="000A0989"/>
    <w:rsid w:val="000A1671"/>
    <w:rsid w:val="000A17B0"/>
    <w:rsid w:val="000A58FF"/>
    <w:rsid w:val="000A674F"/>
    <w:rsid w:val="000A6FEF"/>
    <w:rsid w:val="000B1A57"/>
    <w:rsid w:val="000B2524"/>
    <w:rsid w:val="000B291F"/>
    <w:rsid w:val="000B32EB"/>
    <w:rsid w:val="000B3FB7"/>
    <w:rsid w:val="000B4791"/>
    <w:rsid w:val="000B5C52"/>
    <w:rsid w:val="000B77F0"/>
    <w:rsid w:val="000C00B6"/>
    <w:rsid w:val="000C0722"/>
    <w:rsid w:val="000C388B"/>
    <w:rsid w:val="000C3F47"/>
    <w:rsid w:val="000C52FC"/>
    <w:rsid w:val="000C69F0"/>
    <w:rsid w:val="000C7409"/>
    <w:rsid w:val="000C7FAA"/>
    <w:rsid w:val="000D0916"/>
    <w:rsid w:val="000D0F47"/>
    <w:rsid w:val="000D1817"/>
    <w:rsid w:val="000D3DFA"/>
    <w:rsid w:val="000D6AE6"/>
    <w:rsid w:val="000D79ED"/>
    <w:rsid w:val="000E0123"/>
    <w:rsid w:val="000E02F4"/>
    <w:rsid w:val="000E0E72"/>
    <w:rsid w:val="000E164C"/>
    <w:rsid w:val="000E16FE"/>
    <w:rsid w:val="000E2452"/>
    <w:rsid w:val="000E27C4"/>
    <w:rsid w:val="000E33DD"/>
    <w:rsid w:val="000E3E87"/>
    <w:rsid w:val="000E402F"/>
    <w:rsid w:val="000E41ED"/>
    <w:rsid w:val="000E528B"/>
    <w:rsid w:val="000E52E6"/>
    <w:rsid w:val="000E59C9"/>
    <w:rsid w:val="000E5AC1"/>
    <w:rsid w:val="000E7440"/>
    <w:rsid w:val="000F00D2"/>
    <w:rsid w:val="000F2CAC"/>
    <w:rsid w:val="000F2E6F"/>
    <w:rsid w:val="000F30CD"/>
    <w:rsid w:val="000F390E"/>
    <w:rsid w:val="000F6A0C"/>
    <w:rsid w:val="001002DF"/>
    <w:rsid w:val="001015FE"/>
    <w:rsid w:val="00101C6C"/>
    <w:rsid w:val="00101FBD"/>
    <w:rsid w:val="00102758"/>
    <w:rsid w:val="00105BA1"/>
    <w:rsid w:val="00106BB0"/>
    <w:rsid w:val="001072B6"/>
    <w:rsid w:val="00107B23"/>
    <w:rsid w:val="00110BB3"/>
    <w:rsid w:val="00110EA9"/>
    <w:rsid w:val="00111329"/>
    <w:rsid w:val="00111E06"/>
    <w:rsid w:val="00111E49"/>
    <w:rsid w:val="0011365A"/>
    <w:rsid w:val="00113E52"/>
    <w:rsid w:val="00115672"/>
    <w:rsid w:val="00115D78"/>
    <w:rsid w:val="0011670F"/>
    <w:rsid w:val="00117EE4"/>
    <w:rsid w:val="001200BA"/>
    <w:rsid w:val="001202C7"/>
    <w:rsid w:val="00120E8F"/>
    <w:rsid w:val="00123A01"/>
    <w:rsid w:val="00125CEA"/>
    <w:rsid w:val="00126464"/>
    <w:rsid w:val="00126D4A"/>
    <w:rsid w:val="00127794"/>
    <w:rsid w:val="00130F60"/>
    <w:rsid w:val="00132B5D"/>
    <w:rsid w:val="00133074"/>
    <w:rsid w:val="00133330"/>
    <w:rsid w:val="00133485"/>
    <w:rsid w:val="001356C4"/>
    <w:rsid w:val="00135BF1"/>
    <w:rsid w:val="001364E9"/>
    <w:rsid w:val="00136624"/>
    <w:rsid w:val="00136DA9"/>
    <w:rsid w:val="001379A8"/>
    <w:rsid w:val="00137ADC"/>
    <w:rsid w:val="00140253"/>
    <w:rsid w:val="00141040"/>
    <w:rsid w:val="00141644"/>
    <w:rsid w:val="00141ED2"/>
    <w:rsid w:val="00142A74"/>
    <w:rsid w:val="00144013"/>
    <w:rsid w:val="001449F4"/>
    <w:rsid w:val="00146CA2"/>
    <w:rsid w:val="001500B8"/>
    <w:rsid w:val="0015073F"/>
    <w:rsid w:val="00152783"/>
    <w:rsid w:val="0015280F"/>
    <w:rsid w:val="001536B9"/>
    <w:rsid w:val="001540E6"/>
    <w:rsid w:val="00154A10"/>
    <w:rsid w:val="001577C9"/>
    <w:rsid w:val="001610B3"/>
    <w:rsid w:val="00161450"/>
    <w:rsid w:val="001618B4"/>
    <w:rsid w:val="001638F2"/>
    <w:rsid w:val="0016692D"/>
    <w:rsid w:val="00166F14"/>
    <w:rsid w:val="0016731E"/>
    <w:rsid w:val="001707DA"/>
    <w:rsid w:val="00171AEF"/>
    <w:rsid w:val="00172170"/>
    <w:rsid w:val="00173119"/>
    <w:rsid w:val="0017372E"/>
    <w:rsid w:val="00175C33"/>
    <w:rsid w:val="00177518"/>
    <w:rsid w:val="00177EBA"/>
    <w:rsid w:val="00180F82"/>
    <w:rsid w:val="00181931"/>
    <w:rsid w:val="00183B26"/>
    <w:rsid w:val="00183E46"/>
    <w:rsid w:val="00184412"/>
    <w:rsid w:val="00185278"/>
    <w:rsid w:val="00186837"/>
    <w:rsid w:val="00186988"/>
    <w:rsid w:val="00186C31"/>
    <w:rsid w:val="00186D99"/>
    <w:rsid w:val="00190478"/>
    <w:rsid w:val="001904EF"/>
    <w:rsid w:val="00190D43"/>
    <w:rsid w:val="0019232A"/>
    <w:rsid w:val="001932CC"/>
    <w:rsid w:val="00193F0B"/>
    <w:rsid w:val="00194C29"/>
    <w:rsid w:val="00195A94"/>
    <w:rsid w:val="00196479"/>
    <w:rsid w:val="001969A1"/>
    <w:rsid w:val="001969BF"/>
    <w:rsid w:val="001A013D"/>
    <w:rsid w:val="001A0673"/>
    <w:rsid w:val="001A0A61"/>
    <w:rsid w:val="001A31E1"/>
    <w:rsid w:val="001A432E"/>
    <w:rsid w:val="001A45F6"/>
    <w:rsid w:val="001A5288"/>
    <w:rsid w:val="001A55CD"/>
    <w:rsid w:val="001A5ACB"/>
    <w:rsid w:val="001A6C2B"/>
    <w:rsid w:val="001A71C8"/>
    <w:rsid w:val="001A720F"/>
    <w:rsid w:val="001A72A7"/>
    <w:rsid w:val="001A7CFD"/>
    <w:rsid w:val="001A7D90"/>
    <w:rsid w:val="001B052A"/>
    <w:rsid w:val="001B2CBF"/>
    <w:rsid w:val="001B4ADF"/>
    <w:rsid w:val="001B4DC6"/>
    <w:rsid w:val="001B51F0"/>
    <w:rsid w:val="001B560B"/>
    <w:rsid w:val="001B5F4F"/>
    <w:rsid w:val="001B6356"/>
    <w:rsid w:val="001B70A7"/>
    <w:rsid w:val="001B7C1C"/>
    <w:rsid w:val="001C106F"/>
    <w:rsid w:val="001C1139"/>
    <w:rsid w:val="001C2F1D"/>
    <w:rsid w:val="001C3DF9"/>
    <w:rsid w:val="001C3E8E"/>
    <w:rsid w:val="001C4137"/>
    <w:rsid w:val="001C5BBA"/>
    <w:rsid w:val="001C5DCF"/>
    <w:rsid w:val="001C6B20"/>
    <w:rsid w:val="001C7D21"/>
    <w:rsid w:val="001C7F6F"/>
    <w:rsid w:val="001D19A6"/>
    <w:rsid w:val="001D1DB2"/>
    <w:rsid w:val="001D2149"/>
    <w:rsid w:val="001D2C4C"/>
    <w:rsid w:val="001D6201"/>
    <w:rsid w:val="001D69D6"/>
    <w:rsid w:val="001D7E23"/>
    <w:rsid w:val="001E074D"/>
    <w:rsid w:val="001E08C7"/>
    <w:rsid w:val="001E2891"/>
    <w:rsid w:val="001E32C6"/>
    <w:rsid w:val="001E3957"/>
    <w:rsid w:val="001E4A6D"/>
    <w:rsid w:val="001E711E"/>
    <w:rsid w:val="001E72B6"/>
    <w:rsid w:val="001E7392"/>
    <w:rsid w:val="001F1348"/>
    <w:rsid w:val="001F155E"/>
    <w:rsid w:val="001F180E"/>
    <w:rsid w:val="001F20F2"/>
    <w:rsid w:val="001F342B"/>
    <w:rsid w:val="001F3F03"/>
    <w:rsid w:val="001F54ED"/>
    <w:rsid w:val="001F638A"/>
    <w:rsid w:val="001F7B8A"/>
    <w:rsid w:val="00200978"/>
    <w:rsid w:val="00201468"/>
    <w:rsid w:val="00202DFD"/>
    <w:rsid w:val="00204377"/>
    <w:rsid w:val="00205761"/>
    <w:rsid w:val="00206673"/>
    <w:rsid w:val="0021201D"/>
    <w:rsid w:val="002139BB"/>
    <w:rsid w:val="00214024"/>
    <w:rsid w:val="00214097"/>
    <w:rsid w:val="00214EBA"/>
    <w:rsid w:val="00215CA0"/>
    <w:rsid w:val="0021696C"/>
    <w:rsid w:val="0021754A"/>
    <w:rsid w:val="002177E9"/>
    <w:rsid w:val="00217A8B"/>
    <w:rsid w:val="0022197E"/>
    <w:rsid w:val="00221E22"/>
    <w:rsid w:val="00222B1E"/>
    <w:rsid w:val="00222B48"/>
    <w:rsid w:val="00223789"/>
    <w:rsid w:val="0022484D"/>
    <w:rsid w:val="00224FBD"/>
    <w:rsid w:val="002253C2"/>
    <w:rsid w:val="00226EB2"/>
    <w:rsid w:val="00230C77"/>
    <w:rsid w:val="0023210C"/>
    <w:rsid w:val="00232E72"/>
    <w:rsid w:val="00233398"/>
    <w:rsid w:val="002339FB"/>
    <w:rsid w:val="00233FB8"/>
    <w:rsid w:val="00234AB3"/>
    <w:rsid w:val="00234DC8"/>
    <w:rsid w:val="00235631"/>
    <w:rsid w:val="00236174"/>
    <w:rsid w:val="00240033"/>
    <w:rsid w:val="002400B3"/>
    <w:rsid w:val="00240807"/>
    <w:rsid w:val="00240E2D"/>
    <w:rsid w:val="002413BA"/>
    <w:rsid w:val="00241A5D"/>
    <w:rsid w:val="00242145"/>
    <w:rsid w:val="00242901"/>
    <w:rsid w:val="0024382C"/>
    <w:rsid w:val="00244C0F"/>
    <w:rsid w:val="00246194"/>
    <w:rsid w:val="0024749F"/>
    <w:rsid w:val="0025238A"/>
    <w:rsid w:val="002529CC"/>
    <w:rsid w:val="00252A67"/>
    <w:rsid w:val="00253914"/>
    <w:rsid w:val="00256132"/>
    <w:rsid w:val="002567D0"/>
    <w:rsid w:val="002578F1"/>
    <w:rsid w:val="0026153B"/>
    <w:rsid w:val="0026224E"/>
    <w:rsid w:val="002622AC"/>
    <w:rsid w:val="00262615"/>
    <w:rsid w:val="00264F21"/>
    <w:rsid w:val="002656CB"/>
    <w:rsid w:val="00265D86"/>
    <w:rsid w:val="002668C7"/>
    <w:rsid w:val="00266FA6"/>
    <w:rsid w:val="00266FDC"/>
    <w:rsid w:val="0027106F"/>
    <w:rsid w:val="00271857"/>
    <w:rsid w:val="00272703"/>
    <w:rsid w:val="00272A1C"/>
    <w:rsid w:val="002732D8"/>
    <w:rsid w:val="002735D5"/>
    <w:rsid w:val="0027510A"/>
    <w:rsid w:val="00275AB5"/>
    <w:rsid w:val="00276424"/>
    <w:rsid w:val="0027732B"/>
    <w:rsid w:val="00281578"/>
    <w:rsid w:val="002838A8"/>
    <w:rsid w:val="002838FF"/>
    <w:rsid w:val="00284E50"/>
    <w:rsid w:val="00285F59"/>
    <w:rsid w:val="00287292"/>
    <w:rsid w:val="00287A9A"/>
    <w:rsid w:val="00287AD6"/>
    <w:rsid w:val="0029109F"/>
    <w:rsid w:val="002940EE"/>
    <w:rsid w:val="0029718D"/>
    <w:rsid w:val="00297434"/>
    <w:rsid w:val="002A0315"/>
    <w:rsid w:val="002A0420"/>
    <w:rsid w:val="002A313F"/>
    <w:rsid w:val="002A31BB"/>
    <w:rsid w:val="002A362A"/>
    <w:rsid w:val="002A387E"/>
    <w:rsid w:val="002A4098"/>
    <w:rsid w:val="002A56EA"/>
    <w:rsid w:val="002A58CE"/>
    <w:rsid w:val="002A598F"/>
    <w:rsid w:val="002A5B72"/>
    <w:rsid w:val="002A78BE"/>
    <w:rsid w:val="002B0228"/>
    <w:rsid w:val="002B027C"/>
    <w:rsid w:val="002B0C3A"/>
    <w:rsid w:val="002B4058"/>
    <w:rsid w:val="002B7785"/>
    <w:rsid w:val="002B7E8E"/>
    <w:rsid w:val="002C004E"/>
    <w:rsid w:val="002C1347"/>
    <w:rsid w:val="002C1DA2"/>
    <w:rsid w:val="002C3252"/>
    <w:rsid w:val="002C4A20"/>
    <w:rsid w:val="002C540B"/>
    <w:rsid w:val="002C5424"/>
    <w:rsid w:val="002C6739"/>
    <w:rsid w:val="002C6855"/>
    <w:rsid w:val="002D0D2B"/>
    <w:rsid w:val="002D1C50"/>
    <w:rsid w:val="002D31B7"/>
    <w:rsid w:val="002D32BE"/>
    <w:rsid w:val="002D404E"/>
    <w:rsid w:val="002D6112"/>
    <w:rsid w:val="002E1494"/>
    <w:rsid w:val="002E4C07"/>
    <w:rsid w:val="002E5471"/>
    <w:rsid w:val="002E5EE7"/>
    <w:rsid w:val="002E6108"/>
    <w:rsid w:val="002E701C"/>
    <w:rsid w:val="002E730C"/>
    <w:rsid w:val="002E7A62"/>
    <w:rsid w:val="002F1C56"/>
    <w:rsid w:val="002F2867"/>
    <w:rsid w:val="002F2953"/>
    <w:rsid w:val="002F2BE8"/>
    <w:rsid w:val="002F36E2"/>
    <w:rsid w:val="002F3FA2"/>
    <w:rsid w:val="002F629B"/>
    <w:rsid w:val="00301E4A"/>
    <w:rsid w:val="00301F63"/>
    <w:rsid w:val="00304EB4"/>
    <w:rsid w:val="0030520A"/>
    <w:rsid w:val="003063C5"/>
    <w:rsid w:val="003071F2"/>
    <w:rsid w:val="003074BA"/>
    <w:rsid w:val="00307A3A"/>
    <w:rsid w:val="00307A43"/>
    <w:rsid w:val="0031024C"/>
    <w:rsid w:val="0031030B"/>
    <w:rsid w:val="00311591"/>
    <w:rsid w:val="00312596"/>
    <w:rsid w:val="00312D47"/>
    <w:rsid w:val="00313255"/>
    <w:rsid w:val="00313429"/>
    <w:rsid w:val="003138AB"/>
    <w:rsid w:val="00313AE9"/>
    <w:rsid w:val="003149EB"/>
    <w:rsid w:val="00316202"/>
    <w:rsid w:val="00316C1F"/>
    <w:rsid w:val="00316D20"/>
    <w:rsid w:val="003213FA"/>
    <w:rsid w:val="00321969"/>
    <w:rsid w:val="00321F3F"/>
    <w:rsid w:val="0032219B"/>
    <w:rsid w:val="003226DD"/>
    <w:rsid w:val="003227E4"/>
    <w:rsid w:val="003250D2"/>
    <w:rsid w:val="00326560"/>
    <w:rsid w:val="00326577"/>
    <w:rsid w:val="00327D29"/>
    <w:rsid w:val="00331371"/>
    <w:rsid w:val="00332381"/>
    <w:rsid w:val="00332B66"/>
    <w:rsid w:val="00333321"/>
    <w:rsid w:val="00335035"/>
    <w:rsid w:val="003352EE"/>
    <w:rsid w:val="00336605"/>
    <w:rsid w:val="0033683E"/>
    <w:rsid w:val="0034047D"/>
    <w:rsid w:val="00340BB8"/>
    <w:rsid w:val="00341812"/>
    <w:rsid w:val="00342245"/>
    <w:rsid w:val="003433D0"/>
    <w:rsid w:val="00343C0E"/>
    <w:rsid w:val="003453D2"/>
    <w:rsid w:val="003454FC"/>
    <w:rsid w:val="00350860"/>
    <w:rsid w:val="00350F02"/>
    <w:rsid w:val="00351FB5"/>
    <w:rsid w:val="00352FAC"/>
    <w:rsid w:val="003551F0"/>
    <w:rsid w:val="00357348"/>
    <w:rsid w:val="0035780D"/>
    <w:rsid w:val="00360BFE"/>
    <w:rsid w:val="00360D35"/>
    <w:rsid w:val="0036119D"/>
    <w:rsid w:val="00362748"/>
    <w:rsid w:val="00363429"/>
    <w:rsid w:val="00363B06"/>
    <w:rsid w:val="00365154"/>
    <w:rsid w:val="00365D75"/>
    <w:rsid w:val="0036648A"/>
    <w:rsid w:val="003669AD"/>
    <w:rsid w:val="00366B9C"/>
    <w:rsid w:val="00366BE6"/>
    <w:rsid w:val="003675E1"/>
    <w:rsid w:val="0037034C"/>
    <w:rsid w:val="00370ABE"/>
    <w:rsid w:val="00370E7F"/>
    <w:rsid w:val="00372FC8"/>
    <w:rsid w:val="0037357F"/>
    <w:rsid w:val="00374A56"/>
    <w:rsid w:val="003752BF"/>
    <w:rsid w:val="0037751A"/>
    <w:rsid w:val="00377F11"/>
    <w:rsid w:val="003804D6"/>
    <w:rsid w:val="003817B9"/>
    <w:rsid w:val="00381A19"/>
    <w:rsid w:val="003831D3"/>
    <w:rsid w:val="00383368"/>
    <w:rsid w:val="00384D1A"/>
    <w:rsid w:val="0038566E"/>
    <w:rsid w:val="00385D34"/>
    <w:rsid w:val="00387B37"/>
    <w:rsid w:val="003915EE"/>
    <w:rsid w:val="003921FB"/>
    <w:rsid w:val="003924B8"/>
    <w:rsid w:val="0039334F"/>
    <w:rsid w:val="003935F4"/>
    <w:rsid w:val="00393F7C"/>
    <w:rsid w:val="0039453A"/>
    <w:rsid w:val="00394F8B"/>
    <w:rsid w:val="00396C92"/>
    <w:rsid w:val="00397BD6"/>
    <w:rsid w:val="00397C82"/>
    <w:rsid w:val="003A1933"/>
    <w:rsid w:val="003A206E"/>
    <w:rsid w:val="003A2434"/>
    <w:rsid w:val="003A3411"/>
    <w:rsid w:val="003A3639"/>
    <w:rsid w:val="003A38FF"/>
    <w:rsid w:val="003A58A4"/>
    <w:rsid w:val="003A5ABF"/>
    <w:rsid w:val="003A5DE4"/>
    <w:rsid w:val="003A6043"/>
    <w:rsid w:val="003A608A"/>
    <w:rsid w:val="003A6159"/>
    <w:rsid w:val="003A6C0D"/>
    <w:rsid w:val="003A732D"/>
    <w:rsid w:val="003B04B6"/>
    <w:rsid w:val="003B0947"/>
    <w:rsid w:val="003B0D93"/>
    <w:rsid w:val="003B188F"/>
    <w:rsid w:val="003B1D21"/>
    <w:rsid w:val="003B1FB3"/>
    <w:rsid w:val="003B29C0"/>
    <w:rsid w:val="003B2BC1"/>
    <w:rsid w:val="003B34AB"/>
    <w:rsid w:val="003B5E1C"/>
    <w:rsid w:val="003B6110"/>
    <w:rsid w:val="003B6DF3"/>
    <w:rsid w:val="003C04CE"/>
    <w:rsid w:val="003C0523"/>
    <w:rsid w:val="003C06A7"/>
    <w:rsid w:val="003C2EE7"/>
    <w:rsid w:val="003C47A2"/>
    <w:rsid w:val="003C5315"/>
    <w:rsid w:val="003D19F9"/>
    <w:rsid w:val="003D1ABA"/>
    <w:rsid w:val="003D24D4"/>
    <w:rsid w:val="003D28E3"/>
    <w:rsid w:val="003D2931"/>
    <w:rsid w:val="003D2C83"/>
    <w:rsid w:val="003D301E"/>
    <w:rsid w:val="003D348C"/>
    <w:rsid w:val="003D359E"/>
    <w:rsid w:val="003D4230"/>
    <w:rsid w:val="003D4DFE"/>
    <w:rsid w:val="003D5DEB"/>
    <w:rsid w:val="003D695C"/>
    <w:rsid w:val="003D7AF8"/>
    <w:rsid w:val="003E1BA0"/>
    <w:rsid w:val="003E2786"/>
    <w:rsid w:val="003E2BAF"/>
    <w:rsid w:val="003E2E5B"/>
    <w:rsid w:val="003E3CB9"/>
    <w:rsid w:val="003E5C33"/>
    <w:rsid w:val="003E645C"/>
    <w:rsid w:val="003E6586"/>
    <w:rsid w:val="003E7CAF"/>
    <w:rsid w:val="003F070C"/>
    <w:rsid w:val="003F1D79"/>
    <w:rsid w:val="003F4BD3"/>
    <w:rsid w:val="003F641C"/>
    <w:rsid w:val="003F6ED2"/>
    <w:rsid w:val="003F6F75"/>
    <w:rsid w:val="00400878"/>
    <w:rsid w:val="004031B2"/>
    <w:rsid w:val="004031DF"/>
    <w:rsid w:val="0040351B"/>
    <w:rsid w:val="00404A01"/>
    <w:rsid w:val="00405596"/>
    <w:rsid w:val="004113BB"/>
    <w:rsid w:val="004128F8"/>
    <w:rsid w:val="004139AC"/>
    <w:rsid w:val="00414D42"/>
    <w:rsid w:val="00415406"/>
    <w:rsid w:val="00415A78"/>
    <w:rsid w:val="00415E49"/>
    <w:rsid w:val="00416B2D"/>
    <w:rsid w:val="00417DA0"/>
    <w:rsid w:val="00417E98"/>
    <w:rsid w:val="00420A5A"/>
    <w:rsid w:val="00421B8E"/>
    <w:rsid w:val="00421EBE"/>
    <w:rsid w:val="00422578"/>
    <w:rsid w:val="0042567E"/>
    <w:rsid w:val="00425A4A"/>
    <w:rsid w:val="0042773D"/>
    <w:rsid w:val="00427A69"/>
    <w:rsid w:val="004345BA"/>
    <w:rsid w:val="00436280"/>
    <w:rsid w:val="0044002C"/>
    <w:rsid w:val="00441132"/>
    <w:rsid w:val="00442A2E"/>
    <w:rsid w:val="00446999"/>
    <w:rsid w:val="00447147"/>
    <w:rsid w:val="0044716C"/>
    <w:rsid w:val="0044730E"/>
    <w:rsid w:val="00454D51"/>
    <w:rsid w:val="0045525E"/>
    <w:rsid w:val="00455A00"/>
    <w:rsid w:val="004565F0"/>
    <w:rsid w:val="00456A3A"/>
    <w:rsid w:val="004575F0"/>
    <w:rsid w:val="00457722"/>
    <w:rsid w:val="00461735"/>
    <w:rsid w:val="00461CA1"/>
    <w:rsid w:val="00462664"/>
    <w:rsid w:val="00462F0B"/>
    <w:rsid w:val="00463804"/>
    <w:rsid w:val="00465365"/>
    <w:rsid w:val="00465E21"/>
    <w:rsid w:val="00467EE8"/>
    <w:rsid w:val="00470A32"/>
    <w:rsid w:val="00470EA1"/>
    <w:rsid w:val="00470EF0"/>
    <w:rsid w:val="004710A0"/>
    <w:rsid w:val="004710A9"/>
    <w:rsid w:val="004718F6"/>
    <w:rsid w:val="00471DCF"/>
    <w:rsid w:val="004729EE"/>
    <w:rsid w:val="00474124"/>
    <w:rsid w:val="00475769"/>
    <w:rsid w:val="00476779"/>
    <w:rsid w:val="00477E9C"/>
    <w:rsid w:val="00477F43"/>
    <w:rsid w:val="00481C86"/>
    <w:rsid w:val="00482992"/>
    <w:rsid w:val="00482BBC"/>
    <w:rsid w:val="004830D2"/>
    <w:rsid w:val="00484AC7"/>
    <w:rsid w:val="00486B13"/>
    <w:rsid w:val="00486CB3"/>
    <w:rsid w:val="00487B16"/>
    <w:rsid w:val="00490CCC"/>
    <w:rsid w:val="0049100F"/>
    <w:rsid w:val="004912E3"/>
    <w:rsid w:val="00492DF4"/>
    <w:rsid w:val="004930FA"/>
    <w:rsid w:val="00494731"/>
    <w:rsid w:val="0049502C"/>
    <w:rsid w:val="00496F32"/>
    <w:rsid w:val="0049778C"/>
    <w:rsid w:val="00497861"/>
    <w:rsid w:val="004A00CC"/>
    <w:rsid w:val="004A12B7"/>
    <w:rsid w:val="004A3B0C"/>
    <w:rsid w:val="004A56C0"/>
    <w:rsid w:val="004A6097"/>
    <w:rsid w:val="004A63CA"/>
    <w:rsid w:val="004A723B"/>
    <w:rsid w:val="004A79A0"/>
    <w:rsid w:val="004B1F8F"/>
    <w:rsid w:val="004B4F3E"/>
    <w:rsid w:val="004B55B4"/>
    <w:rsid w:val="004B6095"/>
    <w:rsid w:val="004B6927"/>
    <w:rsid w:val="004B698C"/>
    <w:rsid w:val="004B6A33"/>
    <w:rsid w:val="004B6AC4"/>
    <w:rsid w:val="004C20F6"/>
    <w:rsid w:val="004C271E"/>
    <w:rsid w:val="004C27B3"/>
    <w:rsid w:val="004C5DAA"/>
    <w:rsid w:val="004C60BE"/>
    <w:rsid w:val="004C66ED"/>
    <w:rsid w:val="004D0C7C"/>
    <w:rsid w:val="004D0E62"/>
    <w:rsid w:val="004D0FA2"/>
    <w:rsid w:val="004D175D"/>
    <w:rsid w:val="004D19BA"/>
    <w:rsid w:val="004D2FA3"/>
    <w:rsid w:val="004D3FF7"/>
    <w:rsid w:val="004D5611"/>
    <w:rsid w:val="004D6D03"/>
    <w:rsid w:val="004D77A8"/>
    <w:rsid w:val="004D7B46"/>
    <w:rsid w:val="004E00C2"/>
    <w:rsid w:val="004E0154"/>
    <w:rsid w:val="004E04AF"/>
    <w:rsid w:val="004E1417"/>
    <w:rsid w:val="004E15D1"/>
    <w:rsid w:val="004E37C1"/>
    <w:rsid w:val="004E51A2"/>
    <w:rsid w:val="004E57BA"/>
    <w:rsid w:val="004E75F3"/>
    <w:rsid w:val="004E78C5"/>
    <w:rsid w:val="004F0286"/>
    <w:rsid w:val="004F1589"/>
    <w:rsid w:val="004F280D"/>
    <w:rsid w:val="004F3E10"/>
    <w:rsid w:val="004F4468"/>
    <w:rsid w:val="004F45EC"/>
    <w:rsid w:val="004F46CE"/>
    <w:rsid w:val="005022E3"/>
    <w:rsid w:val="00502F98"/>
    <w:rsid w:val="0050417F"/>
    <w:rsid w:val="00506255"/>
    <w:rsid w:val="005070B0"/>
    <w:rsid w:val="00507774"/>
    <w:rsid w:val="0050783F"/>
    <w:rsid w:val="00507D55"/>
    <w:rsid w:val="005100D4"/>
    <w:rsid w:val="005108F5"/>
    <w:rsid w:val="005112DC"/>
    <w:rsid w:val="00512F3A"/>
    <w:rsid w:val="00513897"/>
    <w:rsid w:val="00513ACE"/>
    <w:rsid w:val="00513C18"/>
    <w:rsid w:val="00513C6D"/>
    <w:rsid w:val="00514D7E"/>
    <w:rsid w:val="00516AB5"/>
    <w:rsid w:val="005209DC"/>
    <w:rsid w:val="00521812"/>
    <w:rsid w:val="00522134"/>
    <w:rsid w:val="00523F7C"/>
    <w:rsid w:val="005252AA"/>
    <w:rsid w:val="00526910"/>
    <w:rsid w:val="00527619"/>
    <w:rsid w:val="005315E3"/>
    <w:rsid w:val="00531DCD"/>
    <w:rsid w:val="005347FE"/>
    <w:rsid w:val="005359A5"/>
    <w:rsid w:val="00535F49"/>
    <w:rsid w:val="00536DAF"/>
    <w:rsid w:val="005417C7"/>
    <w:rsid w:val="00541B27"/>
    <w:rsid w:val="00541B5F"/>
    <w:rsid w:val="00542CC4"/>
    <w:rsid w:val="00546014"/>
    <w:rsid w:val="005468B6"/>
    <w:rsid w:val="00546908"/>
    <w:rsid w:val="00547575"/>
    <w:rsid w:val="0054792B"/>
    <w:rsid w:val="00547F96"/>
    <w:rsid w:val="00550099"/>
    <w:rsid w:val="0055141A"/>
    <w:rsid w:val="00552054"/>
    <w:rsid w:val="00553D37"/>
    <w:rsid w:val="00553FEC"/>
    <w:rsid w:val="00555032"/>
    <w:rsid w:val="00555A2F"/>
    <w:rsid w:val="00555A3E"/>
    <w:rsid w:val="00557D15"/>
    <w:rsid w:val="00557DFC"/>
    <w:rsid w:val="0056155F"/>
    <w:rsid w:val="005620CF"/>
    <w:rsid w:val="0056226D"/>
    <w:rsid w:val="005631C2"/>
    <w:rsid w:val="00563515"/>
    <w:rsid w:val="00563821"/>
    <w:rsid w:val="00563B17"/>
    <w:rsid w:val="005640D1"/>
    <w:rsid w:val="005645BE"/>
    <w:rsid w:val="0056545E"/>
    <w:rsid w:val="00565C4E"/>
    <w:rsid w:val="0056657F"/>
    <w:rsid w:val="00567473"/>
    <w:rsid w:val="005700BA"/>
    <w:rsid w:val="00571D8A"/>
    <w:rsid w:val="00571FD1"/>
    <w:rsid w:val="00573A70"/>
    <w:rsid w:val="00573BE4"/>
    <w:rsid w:val="00574327"/>
    <w:rsid w:val="00574477"/>
    <w:rsid w:val="005746B5"/>
    <w:rsid w:val="00574CE9"/>
    <w:rsid w:val="00575890"/>
    <w:rsid w:val="00575FC4"/>
    <w:rsid w:val="0057723F"/>
    <w:rsid w:val="00577D92"/>
    <w:rsid w:val="00580567"/>
    <w:rsid w:val="00582570"/>
    <w:rsid w:val="005838C2"/>
    <w:rsid w:val="005843A8"/>
    <w:rsid w:val="0058681A"/>
    <w:rsid w:val="00586D16"/>
    <w:rsid w:val="0059201C"/>
    <w:rsid w:val="005923B8"/>
    <w:rsid w:val="00593F1F"/>
    <w:rsid w:val="0059469F"/>
    <w:rsid w:val="005946C3"/>
    <w:rsid w:val="0059524E"/>
    <w:rsid w:val="00595CD5"/>
    <w:rsid w:val="00596EA2"/>
    <w:rsid w:val="005A115C"/>
    <w:rsid w:val="005A1403"/>
    <w:rsid w:val="005A1F8D"/>
    <w:rsid w:val="005A4BDF"/>
    <w:rsid w:val="005A730A"/>
    <w:rsid w:val="005A760A"/>
    <w:rsid w:val="005A7B3F"/>
    <w:rsid w:val="005B08EE"/>
    <w:rsid w:val="005B09A5"/>
    <w:rsid w:val="005B2003"/>
    <w:rsid w:val="005B24EF"/>
    <w:rsid w:val="005B500C"/>
    <w:rsid w:val="005B5041"/>
    <w:rsid w:val="005C23F9"/>
    <w:rsid w:val="005C3375"/>
    <w:rsid w:val="005C42AC"/>
    <w:rsid w:val="005C6ADB"/>
    <w:rsid w:val="005C6FA2"/>
    <w:rsid w:val="005D0DB9"/>
    <w:rsid w:val="005D0F4D"/>
    <w:rsid w:val="005D2226"/>
    <w:rsid w:val="005D25ED"/>
    <w:rsid w:val="005D3C27"/>
    <w:rsid w:val="005D3E95"/>
    <w:rsid w:val="005D5643"/>
    <w:rsid w:val="005D5928"/>
    <w:rsid w:val="005D5AF3"/>
    <w:rsid w:val="005D64DC"/>
    <w:rsid w:val="005E0C50"/>
    <w:rsid w:val="005E1816"/>
    <w:rsid w:val="005E2DEF"/>
    <w:rsid w:val="005E3A0F"/>
    <w:rsid w:val="005E4DEC"/>
    <w:rsid w:val="005E5019"/>
    <w:rsid w:val="005F0604"/>
    <w:rsid w:val="005F2382"/>
    <w:rsid w:val="005F2FF0"/>
    <w:rsid w:val="005F3D17"/>
    <w:rsid w:val="005F3FAB"/>
    <w:rsid w:val="005F4638"/>
    <w:rsid w:val="005F4EE0"/>
    <w:rsid w:val="005F5AA6"/>
    <w:rsid w:val="00600364"/>
    <w:rsid w:val="00600365"/>
    <w:rsid w:val="006026DF"/>
    <w:rsid w:val="00602DE8"/>
    <w:rsid w:val="00602E59"/>
    <w:rsid w:val="006037D0"/>
    <w:rsid w:val="00605AF4"/>
    <w:rsid w:val="00607717"/>
    <w:rsid w:val="00607CE4"/>
    <w:rsid w:val="006102BE"/>
    <w:rsid w:val="0061144A"/>
    <w:rsid w:val="00611AA6"/>
    <w:rsid w:val="00612B1F"/>
    <w:rsid w:val="00613F42"/>
    <w:rsid w:val="00614321"/>
    <w:rsid w:val="00614C1D"/>
    <w:rsid w:val="00614DC6"/>
    <w:rsid w:val="00614FEB"/>
    <w:rsid w:val="00617515"/>
    <w:rsid w:val="00622F32"/>
    <w:rsid w:val="0062500C"/>
    <w:rsid w:val="0062510C"/>
    <w:rsid w:val="0062568D"/>
    <w:rsid w:val="00625766"/>
    <w:rsid w:val="00632828"/>
    <w:rsid w:val="00633EA5"/>
    <w:rsid w:val="0063406D"/>
    <w:rsid w:val="00635FE1"/>
    <w:rsid w:val="006374C8"/>
    <w:rsid w:val="0063762B"/>
    <w:rsid w:val="00637888"/>
    <w:rsid w:val="00640713"/>
    <w:rsid w:val="00640A7B"/>
    <w:rsid w:val="00641598"/>
    <w:rsid w:val="006419ED"/>
    <w:rsid w:val="0064271C"/>
    <w:rsid w:val="00643DDD"/>
    <w:rsid w:val="006444F1"/>
    <w:rsid w:val="006445C1"/>
    <w:rsid w:val="00646111"/>
    <w:rsid w:val="0064617C"/>
    <w:rsid w:val="00647A86"/>
    <w:rsid w:val="006525B5"/>
    <w:rsid w:val="00652F9B"/>
    <w:rsid w:val="006532F8"/>
    <w:rsid w:val="00653A37"/>
    <w:rsid w:val="00653F8D"/>
    <w:rsid w:val="006564D8"/>
    <w:rsid w:val="00656C8D"/>
    <w:rsid w:val="00657584"/>
    <w:rsid w:val="006576C3"/>
    <w:rsid w:val="00657AAB"/>
    <w:rsid w:val="00660076"/>
    <w:rsid w:val="00660330"/>
    <w:rsid w:val="006607BD"/>
    <w:rsid w:val="00660933"/>
    <w:rsid w:val="00660C73"/>
    <w:rsid w:val="00661CD5"/>
    <w:rsid w:val="00662E08"/>
    <w:rsid w:val="00663EDC"/>
    <w:rsid w:val="00664D19"/>
    <w:rsid w:val="00664DFC"/>
    <w:rsid w:val="00666607"/>
    <w:rsid w:val="006679BA"/>
    <w:rsid w:val="00667C9A"/>
    <w:rsid w:val="00667FE9"/>
    <w:rsid w:val="0067227D"/>
    <w:rsid w:val="00672722"/>
    <w:rsid w:val="006727B3"/>
    <w:rsid w:val="00672AFF"/>
    <w:rsid w:val="00673B61"/>
    <w:rsid w:val="006742F3"/>
    <w:rsid w:val="00674459"/>
    <w:rsid w:val="00680C35"/>
    <w:rsid w:val="00681AC9"/>
    <w:rsid w:val="00681E21"/>
    <w:rsid w:val="00683B1B"/>
    <w:rsid w:val="00683D2A"/>
    <w:rsid w:val="006843F0"/>
    <w:rsid w:val="0068549D"/>
    <w:rsid w:val="00686416"/>
    <w:rsid w:val="006869B3"/>
    <w:rsid w:val="00686C50"/>
    <w:rsid w:val="006870A1"/>
    <w:rsid w:val="00687151"/>
    <w:rsid w:val="006872B2"/>
    <w:rsid w:val="00690652"/>
    <w:rsid w:val="00690C4D"/>
    <w:rsid w:val="006912B5"/>
    <w:rsid w:val="006A110F"/>
    <w:rsid w:val="006A18E3"/>
    <w:rsid w:val="006A2995"/>
    <w:rsid w:val="006A5FA2"/>
    <w:rsid w:val="006A6518"/>
    <w:rsid w:val="006A657D"/>
    <w:rsid w:val="006A6767"/>
    <w:rsid w:val="006A6B21"/>
    <w:rsid w:val="006A6BF2"/>
    <w:rsid w:val="006A6DAA"/>
    <w:rsid w:val="006B0766"/>
    <w:rsid w:val="006B113E"/>
    <w:rsid w:val="006B4580"/>
    <w:rsid w:val="006B4704"/>
    <w:rsid w:val="006B6092"/>
    <w:rsid w:val="006C1D03"/>
    <w:rsid w:val="006C3193"/>
    <w:rsid w:val="006C4466"/>
    <w:rsid w:val="006C4779"/>
    <w:rsid w:val="006C4865"/>
    <w:rsid w:val="006C5EB7"/>
    <w:rsid w:val="006C7A65"/>
    <w:rsid w:val="006D0772"/>
    <w:rsid w:val="006D194C"/>
    <w:rsid w:val="006D2293"/>
    <w:rsid w:val="006D340C"/>
    <w:rsid w:val="006D48EB"/>
    <w:rsid w:val="006D4C7E"/>
    <w:rsid w:val="006D4CE2"/>
    <w:rsid w:val="006D5CFE"/>
    <w:rsid w:val="006D68F7"/>
    <w:rsid w:val="006D7234"/>
    <w:rsid w:val="006E0B80"/>
    <w:rsid w:val="006E0D6E"/>
    <w:rsid w:val="006E19D4"/>
    <w:rsid w:val="006E2625"/>
    <w:rsid w:val="006E2D88"/>
    <w:rsid w:val="006E2F65"/>
    <w:rsid w:val="006E3157"/>
    <w:rsid w:val="006E64AE"/>
    <w:rsid w:val="006E6739"/>
    <w:rsid w:val="006E6CF6"/>
    <w:rsid w:val="006E7882"/>
    <w:rsid w:val="006E7AB0"/>
    <w:rsid w:val="006E7E63"/>
    <w:rsid w:val="006F0E58"/>
    <w:rsid w:val="006F13CA"/>
    <w:rsid w:val="006F179B"/>
    <w:rsid w:val="006F20F7"/>
    <w:rsid w:val="006F2152"/>
    <w:rsid w:val="006F2D2A"/>
    <w:rsid w:val="006F347B"/>
    <w:rsid w:val="006F39B4"/>
    <w:rsid w:val="006F5DC4"/>
    <w:rsid w:val="006F6711"/>
    <w:rsid w:val="006F6DBB"/>
    <w:rsid w:val="007002FB"/>
    <w:rsid w:val="0070038C"/>
    <w:rsid w:val="00703658"/>
    <w:rsid w:val="007051C5"/>
    <w:rsid w:val="0070740A"/>
    <w:rsid w:val="00707439"/>
    <w:rsid w:val="0071019B"/>
    <w:rsid w:val="0071049D"/>
    <w:rsid w:val="00711029"/>
    <w:rsid w:val="007112CF"/>
    <w:rsid w:val="00713651"/>
    <w:rsid w:val="00714067"/>
    <w:rsid w:val="0071453B"/>
    <w:rsid w:val="007149FB"/>
    <w:rsid w:val="007164DF"/>
    <w:rsid w:val="00716A16"/>
    <w:rsid w:val="00717B43"/>
    <w:rsid w:val="00722A91"/>
    <w:rsid w:val="0072543A"/>
    <w:rsid w:val="007254E1"/>
    <w:rsid w:val="00726E82"/>
    <w:rsid w:val="0073047B"/>
    <w:rsid w:val="00731A95"/>
    <w:rsid w:val="0073207E"/>
    <w:rsid w:val="0073231C"/>
    <w:rsid w:val="0073309C"/>
    <w:rsid w:val="007336EE"/>
    <w:rsid w:val="0073392F"/>
    <w:rsid w:val="00734E57"/>
    <w:rsid w:val="00735CD9"/>
    <w:rsid w:val="00736C2B"/>
    <w:rsid w:val="00737426"/>
    <w:rsid w:val="007374F8"/>
    <w:rsid w:val="00740878"/>
    <w:rsid w:val="00741CD0"/>
    <w:rsid w:val="00741D2B"/>
    <w:rsid w:val="007429D8"/>
    <w:rsid w:val="00742C92"/>
    <w:rsid w:val="007430C2"/>
    <w:rsid w:val="007431FA"/>
    <w:rsid w:val="00744853"/>
    <w:rsid w:val="007456B9"/>
    <w:rsid w:val="0074643F"/>
    <w:rsid w:val="007466EC"/>
    <w:rsid w:val="00746F88"/>
    <w:rsid w:val="007475DB"/>
    <w:rsid w:val="00747818"/>
    <w:rsid w:val="007500A5"/>
    <w:rsid w:val="0075065F"/>
    <w:rsid w:val="007524EC"/>
    <w:rsid w:val="0075289E"/>
    <w:rsid w:val="00753F8A"/>
    <w:rsid w:val="007542A5"/>
    <w:rsid w:val="007544F2"/>
    <w:rsid w:val="0075585C"/>
    <w:rsid w:val="007566B1"/>
    <w:rsid w:val="0075762A"/>
    <w:rsid w:val="0076264F"/>
    <w:rsid w:val="0076284E"/>
    <w:rsid w:val="007632BA"/>
    <w:rsid w:val="00763495"/>
    <w:rsid w:val="00766431"/>
    <w:rsid w:val="007665FB"/>
    <w:rsid w:val="00766CED"/>
    <w:rsid w:val="00766F28"/>
    <w:rsid w:val="00767EA1"/>
    <w:rsid w:val="007707F6"/>
    <w:rsid w:val="00770C29"/>
    <w:rsid w:val="00772517"/>
    <w:rsid w:val="00774B92"/>
    <w:rsid w:val="007758A7"/>
    <w:rsid w:val="007765B0"/>
    <w:rsid w:val="007766DA"/>
    <w:rsid w:val="00776773"/>
    <w:rsid w:val="00776D3D"/>
    <w:rsid w:val="00776FE1"/>
    <w:rsid w:val="00780090"/>
    <w:rsid w:val="0078520E"/>
    <w:rsid w:val="00786E0C"/>
    <w:rsid w:val="00787AAA"/>
    <w:rsid w:val="00790D37"/>
    <w:rsid w:val="00791342"/>
    <w:rsid w:val="007913FF"/>
    <w:rsid w:val="00792CB5"/>
    <w:rsid w:val="0079320E"/>
    <w:rsid w:val="00793664"/>
    <w:rsid w:val="007949EB"/>
    <w:rsid w:val="007959E7"/>
    <w:rsid w:val="00795FC8"/>
    <w:rsid w:val="00796137"/>
    <w:rsid w:val="007A0B24"/>
    <w:rsid w:val="007A156E"/>
    <w:rsid w:val="007A2720"/>
    <w:rsid w:val="007A427C"/>
    <w:rsid w:val="007A474A"/>
    <w:rsid w:val="007A4ED3"/>
    <w:rsid w:val="007A700A"/>
    <w:rsid w:val="007A7566"/>
    <w:rsid w:val="007B0507"/>
    <w:rsid w:val="007B0928"/>
    <w:rsid w:val="007B208F"/>
    <w:rsid w:val="007B28E2"/>
    <w:rsid w:val="007B5783"/>
    <w:rsid w:val="007B7577"/>
    <w:rsid w:val="007C4227"/>
    <w:rsid w:val="007C5886"/>
    <w:rsid w:val="007C5FCD"/>
    <w:rsid w:val="007C6741"/>
    <w:rsid w:val="007C6B2C"/>
    <w:rsid w:val="007C7947"/>
    <w:rsid w:val="007D007A"/>
    <w:rsid w:val="007D04F8"/>
    <w:rsid w:val="007D05DF"/>
    <w:rsid w:val="007D1F13"/>
    <w:rsid w:val="007D26FB"/>
    <w:rsid w:val="007D334C"/>
    <w:rsid w:val="007D38CB"/>
    <w:rsid w:val="007D62DD"/>
    <w:rsid w:val="007D6635"/>
    <w:rsid w:val="007E0FC6"/>
    <w:rsid w:val="007E11BA"/>
    <w:rsid w:val="007E78F6"/>
    <w:rsid w:val="007F1673"/>
    <w:rsid w:val="007F18AF"/>
    <w:rsid w:val="007F1961"/>
    <w:rsid w:val="007F2215"/>
    <w:rsid w:val="007F3551"/>
    <w:rsid w:val="007F4109"/>
    <w:rsid w:val="007F6175"/>
    <w:rsid w:val="007F625F"/>
    <w:rsid w:val="007F66A2"/>
    <w:rsid w:val="0080073A"/>
    <w:rsid w:val="0080157F"/>
    <w:rsid w:val="00801FC0"/>
    <w:rsid w:val="00802321"/>
    <w:rsid w:val="0080368F"/>
    <w:rsid w:val="00803853"/>
    <w:rsid w:val="00803CCF"/>
    <w:rsid w:val="00804402"/>
    <w:rsid w:val="0080500A"/>
    <w:rsid w:val="0080613D"/>
    <w:rsid w:val="0080690C"/>
    <w:rsid w:val="00806E68"/>
    <w:rsid w:val="008072F6"/>
    <w:rsid w:val="008112F3"/>
    <w:rsid w:val="008121EC"/>
    <w:rsid w:val="00812255"/>
    <w:rsid w:val="00812E80"/>
    <w:rsid w:val="00813913"/>
    <w:rsid w:val="00813E6B"/>
    <w:rsid w:val="00813EBC"/>
    <w:rsid w:val="008141E6"/>
    <w:rsid w:val="00814905"/>
    <w:rsid w:val="00815620"/>
    <w:rsid w:val="00815DA5"/>
    <w:rsid w:val="00815DCD"/>
    <w:rsid w:val="00817373"/>
    <w:rsid w:val="008209DB"/>
    <w:rsid w:val="00821D78"/>
    <w:rsid w:val="008234D9"/>
    <w:rsid w:val="0082356B"/>
    <w:rsid w:val="00824E72"/>
    <w:rsid w:val="00825191"/>
    <w:rsid w:val="00825390"/>
    <w:rsid w:val="00825FB1"/>
    <w:rsid w:val="008269CF"/>
    <w:rsid w:val="00827316"/>
    <w:rsid w:val="00827E7A"/>
    <w:rsid w:val="00830B9D"/>
    <w:rsid w:val="0083104A"/>
    <w:rsid w:val="00831DE4"/>
    <w:rsid w:val="008321D4"/>
    <w:rsid w:val="00832DF6"/>
    <w:rsid w:val="00833807"/>
    <w:rsid w:val="008346C6"/>
    <w:rsid w:val="0083505A"/>
    <w:rsid w:val="00835399"/>
    <w:rsid w:val="00835477"/>
    <w:rsid w:val="008357EC"/>
    <w:rsid w:val="00835F89"/>
    <w:rsid w:val="00836034"/>
    <w:rsid w:val="008361EB"/>
    <w:rsid w:val="008364C2"/>
    <w:rsid w:val="00840BDF"/>
    <w:rsid w:val="008420FF"/>
    <w:rsid w:val="00843553"/>
    <w:rsid w:val="00843932"/>
    <w:rsid w:val="00843D6F"/>
    <w:rsid w:val="00844C86"/>
    <w:rsid w:val="00846E67"/>
    <w:rsid w:val="008503DB"/>
    <w:rsid w:val="0085052A"/>
    <w:rsid w:val="008512D4"/>
    <w:rsid w:val="0085137C"/>
    <w:rsid w:val="008524D5"/>
    <w:rsid w:val="00852C86"/>
    <w:rsid w:val="00855322"/>
    <w:rsid w:val="0085581D"/>
    <w:rsid w:val="00855AAB"/>
    <w:rsid w:val="00855B8E"/>
    <w:rsid w:val="008563E9"/>
    <w:rsid w:val="0086028D"/>
    <w:rsid w:val="00860629"/>
    <w:rsid w:val="00861721"/>
    <w:rsid w:val="00861896"/>
    <w:rsid w:val="00861D23"/>
    <w:rsid w:val="008634EE"/>
    <w:rsid w:val="00864515"/>
    <w:rsid w:val="008646AA"/>
    <w:rsid w:val="00865557"/>
    <w:rsid w:val="00867B5F"/>
    <w:rsid w:val="008714F1"/>
    <w:rsid w:val="00871F37"/>
    <w:rsid w:val="0087258F"/>
    <w:rsid w:val="00872C66"/>
    <w:rsid w:val="0087346E"/>
    <w:rsid w:val="00874471"/>
    <w:rsid w:val="00874AE7"/>
    <w:rsid w:val="0087500A"/>
    <w:rsid w:val="0087756F"/>
    <w:rsid w:val="00877A7E"/>
    <w:rsid w:val="00877E6F"/>
    <w:rsid w:val="00880538"/>
    <w:rsid w:val="00882241"/>
    <w:rsid w:val="0088266B"/>
    <w:rsid w:val="00882F76"/>
    <w:rsid w:val="008835ED"/>
    <w:rsid w:val="00884A3B"/>
    <w:rsid w:val="00885DFC"/>
    <w:rsid w:val="00886DBC"/>
    <w:rsid w:val="008872F3"/>
    <w:rsid w:val="00887311"/>
    <w:rsid w:val="00887DA7"/>
    <w:rsid w:val="00887DD7"/>
    <w:rsid w:val="0089157E"/>
    <w:rsid w:val="00891B45"/>
    <w:rsid w:val="00893E89"/>
    <w:rsid w:val="00894F3E"/>
    <w:rsid w:val="008963A0"/>
    <w:rsid w:val="00897209"/>
    <w:rsid w:val="00897BDA"/>
    <w:rsid w:val="008A1023"/>
    <w:rsid w:val="008A293D"/>
    <w:rsid w:val="008A52D6"/>
    <w:rsid w:val="008A581F"/>
    <w:rsid w:val="008A601F"/>
    <w:rsid w:val="008A6621"/>
    <w:rsid w:val="008B00EE"/>
    <w:rsid w:val="008B03CE"/>
    <w:rsid w:val="008B05F1"/>
    <w:rsid w:val="008B1FEF"/>
    <w:rsid w:val="008B204B"/>
    <w:rsid w:val="008B240A"/>
    <w:rsid w:val="008B27CD"/>
    <w:rsid w:val="008B2B29"/>
    <w:rsid w:val="008B3132"/>
    <w:rsid w:val="008B450B"/>
    <w:rsid w:val="008B5E11"/>
    <w:rsid w:val="008B697C"/>
    <w:rsid w:val="008B7130"/>
    <w:rsid w:val="008B792C"/>
    <w:rsid w:val="008B7A1D"/>
    <w:rsid w:val="008C0205"/>
    <w:rsid w:val="008C1C18"/>
    <w:rsid w:val="008C2C46"/>
    <w:rsid w:val="008C40C8"/>
    <w:rsid w:val="008C4A62"/>
    <w:rsid w:val="008C5964"/>
    <w:rsid w:val="008C755D"/>
    <w:rsid w:val="008D03FA"/>
    <w:rsid w:val="008D0538"/>
    <w:rsid w:val="008D067E"/>
    <w:rsid w:val="008D0E59"/>
    <w:rsid w:val="008D376A"/>
    <w:rsid w:val="008D4377"/>
    <w:rsid w:val="008D5803"/>
    <w:rsid w:val="008D68B5"/>
    <w:rsid w:val="008D702C"/>
    <w:rsid w:val="008E2CCE"/>
    <w:rsid w:val="008E2E66"/>
    <w:rsid w:val="008E53E8"/>
    <w:rsid w:val="008E5833"/>
    <w:rsid w:val="008E5836"/>
    <w:rsid w:val="008E61DE"/>
    <w:rsid w:val="008E6480"/>
    <w:rsid w:val="008F0293"/>
    <w:rsid w:val="008F1A56"/>
    <w:rsid w:val="008F4AD5"/>
    <w:rsid w:val="008F4C1F"/>
    <w:rsid w:val="008F54FD"/>
    <w:rsid w:val="008F730D"/>
    <w:rsid w:val="00900EC4"/>
    <w:rsid w:val="00903CC1"/>
    <w:rsid w:val="0090485A"/>
    <w:rsid w:val="00906126"/>
    <w:rsid w:val="009063CB"/>
    <w:rsid w:val="00906AA5"/>
    <w:rsid w:val="00906F52"/>
    <w:rsid w:val="0090709B"/>
    <w:rsid w:val="0091154D"/>
    <w:rsid w:val="00911689"/>
    <w:rsid w:val="009131B9"/>
    <w:rsid w:val="00916B82"/>
    <w:rsid w:val="00916FA3"/>
    <w:rsid w:val="00917026"/>
    <w:rsid w:val="00920308"/>
    <w:rsid w:val="0092171A"/>
    <w:rsid w:val="00922207"/>
    <w:rsid w:val="00922451"/>
    <w:rsid w:val="009229B8"/>
    <w:rsid w:val="00923087"/>
    <w:rsid w:val="0092341E"/>
    <w:rsid w:val="00923F7B"/>
    <w:rsid w:val="0092558C"/>
    <w:rsid w:val="00925699"/>
    <w:rsid w:val="00925D82"/>
    <w:rsid w:val="00925E65"/>
    <w:rsid w:val="00925FAC"/>
    <w:rsid w:val="00927BCC"/>
    <w:rsid w:val="00927EC1"/>
    <w:rsid w:val="0093034E"/>
    <w:rsid w:val="00930DCA"/>
    <w:rsid w:val="00931C03"/>
    <w:rsid w:val="00931ED6"/>
    <w:rsid w:val="009321EC"/>
    <w:rsid w:val="009322C1"/>
    <w:rsid w:val="00932C33"/>
    <w:rsid w:val="00932CFE"/>
    <w:rsid w:val="0093362D"/>
    <w:rsid w:val="0093504C"/>
    <w:rsid w:val="009352B5"/>
    <w:rsid w:val="009368EF"/>
    <w:rsid w:val="009418F7"/>
    <w:rsid w:val="00941936"/>
    <w:rsid w:val="00941EE9"/>
    <w:rsid w:val="009424BC"/>
    <w:rsid w:val="00942703"/>
    <w:rsid w:val="009433CD"/>
    <w:rsid w:val="00944466"/>
    <w:rsid w:val="00944F6D"/>
    <w:rsid w:val="00944FE4"/>
    <w:rsid w:val="00945BA2"/>
    <w:rsid w:val="00946147"/>
    <w:rsid w:val="009467C1"/>
    <w:rsid w:val="00947059"/>
    <w:rsid w:val="00947321"/>
    <w:rsid w:val="00951673"/>
    <w:rsid w:val="00952908"/>
    <w:rsid w:val="00952C9D"/>
    <w:rsid w:val="00952EFE"/>
    <w:rsid w:val="00953DBF"/>
    <w:rsid w:val="00954415"/>
    <w:rsid w:val="00954FA2"/>
    <w:rsid w:val="0095734C"/>
    <w:rsid w:val="00957F9A"/>
    <w:rsid w:val="009613C6"/>
    <w:rsid w:val="009631DC"/>
    <w:rsid w:val="00963E44"/>
    <w:rsid w:val="00964447"/>
    <w:rsid w:val="009647F1"/>
    <w:rsid w:val="009650CC"/>
    <w:rsid w:val="00965225"/>
    <w:rsid w:val="009655DF"/>
    <w:rsid w:val="0096570D"/>
    <w:rsid w:val="00966737"/>
    <w:rsid w:val="00966E35"/>
    <w:rsid w:val="00972FF9"/>
    <w:rsid w:val="00974302"/>
    <w:rsid w:val="00974D0A"/>
    <w:rsid w:val="009758D2"/>
    <w:rsid w:val="00975A10"/>
    <w:rsid w:val="00976332"/>
    <w:rsid w:val="00976A05"/>
    <w:rsid w:val="00980A80"/>
    <w:rsid w:val="009830D6"/>
    <w:rsid w:val="009832C7"/>
    <w:rsid w:val="00983703"/>
    <w:rsid w:val="00983847"/>
    <w:rsid w:val="00983BB5"/>
    <w:rsid w:val="00984D2D"/>
    <w:rsid w:val="0098537C"/>
    <w:rsid w:val="009866EA"/>
    <w:rsid w:val="0098696B"/>
    <w:rsid w:val="009870C1"/>
    <w:rsid w:val="00987551"/>
    <w:rsid w:val="0099310A"/>
    <w:rsid w:val="0099408E"/>
    <w:rsid w:val="00996265"/>
    <w:rsid w:val="009A00C4"/>
    <w:rsid w:val="009A0C71"/>
    <w:rsid w:val="009A23CA"/>
    <w:rsid w:val="009A24EA"/>
    <w:rsid w:val="009A378E"/>
    <w:rsid w:val="009A7C60"/>
    <w:rsid w:val="009B0BD0"/>
    <w:rsid w:val="009B1B2D"/>
    <w:rsid w:val="009B2766"/>
    <w:rsid w:val="009B33B8"/>
    <w:rsid w:val="009B3DAB"/>
    <w:rsid w:val="009B4104"/>
    <w:rsid w:val="009B4F98"/>
    <w:rsid w:val="009B6463"/>
    <w:rsid w:val="009B6CD0"/>
    <w:rsid w:val="009C013F"/>
    <w:rsid w:val="009C21A4"/>
    <w:rsid w:val="009C2697"/>
    <w:rsid w:val="009C5D53"/>
    <w:rsid w:val="009C5EE8"/>
    <w:rsid w:val="009D0BA0"/>
    <w:rsid w:val="009D1D41"/>
    <w:rsid w:val="009D2E56"/>
    <w:rsid w:val="009D2F6D"/>
    <w:rsid w:val="009D46BD"/>
    <w:rsid w:val="009D5674"/>
    <w:rsid w:val="009D616D"/>
    <w:rsid w:val="009D61EE"/>
    <w:rsid w:val="009D6E55"/>
    <w:rsid w:val="009D7080"/>
    <w:rsid w:val="009D7261"/>
    <w:rsid w:val="009E0965"/>
    <w:rsid w:val="009E1260"/>
    <w:rsid w:val="009E1AA2"/>
    <w:rsid w:val="009E1F00"/>
    <w:rsid w:val="009E34C5"/>
    <w:rsid w:val="009E3720"/>
    <w:rsid w:val="009E3B0D"/>
    <w:rsid w:val="009E3C7F"/>
    <w:rsid w:val="009E3FF5"/>
    <w:rsid w:val="009E624F"/>
    <w:rsid w:val="009E6FC7"/>
    <w:rsid w:val="009E73E6"/>
    <w:rsid w:val="009F088C"/>
    <w:rsid w:val="009F0988"/>
    <w:rsid w:val="009F2DC6"/>
    <w:rsid w:val="009F376B"/>
    <w:rsid w:val="009F4248"/>
    <w:rsid w:val="009F601C"/>
    <w:rsid w:val="009F6C79"/>
    <w:rsid w:val="009F73A6"/>
    <w:rsid w:val="009F7E7B"/>
    <w:rsid w:val="00A00D10"/>
    <w:rsid w:val="00A00DBB"/>
    <w:rsid w:val="00A01640"/>
    <w:rsid w:val="00A018EA"/>
    <w:rsid w:val="00A01AB3"/>
    <w:rsid w:val="00A039AD"/>
    <w:rsid w:val="00A05565"/>
    <w:rsid w:val="00A06174"/>
    <w:rsid w:val="00A10E1D"/>
    <w:rsid w:val="00A12EB2"/>
    <w:rsid w:val="00A1433A"/>
    <w:rsid w:val="00A15ADB"/>
    <w:rsid w:val="00A15F40"/>
    <w:rsid w:val="00A170F7"/>
    <w:rsid w:val="00A1732B"/>
    <w:rsid w:val="00A20252"/>
    <w:rsid w:val="00A205F9"/>
    <w:rsid w:val="00A20743"/>
    <w:rsid w:val="00A210A6"/>
    <w:rsid w:val="00A2126E"/>
    <w:rsid w:val="00A21659"/>
    <w:rsid w:val="00A2177C"/>
    <w:rsid w:val="00A22323"/>
    <w:rsid w:val="00A230E2"/>
    <w:rsid w:val="00A2485E"/>
    <w:rsid w:val="00A25442"/>
    <w:rsid w:val="00A27DFD"/>
    <w:rsid w:val="00A30039"/>
    <w:rsid w:val="00A3008A"/>
    <w:rsid w:val="00A30127"/>
    <w:rsid w:val="00A310C9"/>
    <w:rsid w:val="00A3149F"/>
    <w:rsid w:val="00A3304A"/>
    <w:rsid w:val="00A34B9F"/>
    <w:rsid w:val="00A35BC8"/>
    <w:rsid w:val="00A36B2E"/>
    <w:rsid w:val="00A36E33"/>
    <w:rsid w:val="00A36EE3"/>
    <w:rsid w:val="00A37B66"/>
    <w:rsid w:val="00A37D5C"/>
    <w:rsid w:val="00A4036C"/>
    <w:rsid w:val="00A405FB"/>
    <w:rsid w:val="00A40D9D"/>
    <w:rsid w:val="00A412A1"/>
    <w:rsid w:val="00A4332C"/>
    <w:rsid w:val="00A43B67"/>
    <w:rsid w:val="00A4547F"/>
    <w:rsid w:val="00A46047"/>
    <w:rsid w:val="00A5060D"/>
    <w:rsid w:val="00A5108B"/>
    <w:rsid w:val="00A512A0"/>
    <w:rsid w:val="00A52646"/>
    <w:rsid w:val="00A5578C"/>
    <w:rsid w:val="00A55A87"/>
    <w:rsid w:val="00A57734"/>
    <w:rsid w:val="00A601E4"/>
    <w:rsid w:val="00A60934"/>
    <w:rsid w:val="00A60A9D"/>
    <w:rsid w:val="00A625CA"/>
    <w:rsid w:val="00A64063"/>
    <w:rsid w:val="00A6421D"/>
    <w:rsid w:val="00A65D8D"/>
    <w:rsid w:val="00A66558"/>
    <w:rsid w:val="00A66F80"/>
    <w:rsid w:val="00A67EE2"/>
    <w:rsid w:val="00A67FA6"/>
    <w:rsid w:val="00A704A3"/>
    <w:rsid w:val="00A7219D"/>
    <w:rsid w:val="00A72221"/>
    <w:rsid w:val="00A72693"/>
    <w:rsid w:val="00A73F26"/>
    <w:rsid w:val="00A753F1"/>
    <w:rsid w:val="00A75FB3"/>
    <w:rsid w:val="00A77898"/>
    <w:rsid w:val="00A80308"/>
    <w:rsid w:val="00A80E74"/>
    <w:rsid w:val="00A81848"/>
    <w:rsid w:val="00A81861"/>
    <w:rsid w:val="00A818A6"/>
    <w:rsid w:val="00A82EF1"/>
    <w:rsid w:val="00A83BA5"/>
    <w:rsid w:val="00A85B5E"/>
    <w:rsid w:val="00A85CB0"/>
    <w:rsid w:val="00A85E38"/>
    <w:rsid w:val="00A872EB"/>
    <w:rsid w:val="00A87308"/>
    <w:rsid w:val="00A87AF1"/>
    <w:rsid w:val="00A87F8E"/>
    <w:rsid w:val="00A93A58"/>
    <w:rsid w:val="00A944CD"/>
    <w:rsid w:val="00A9547B"/>
    <w:rsid w:val="00A95708"/>
    <w:rsid w:val="00A95863"/>
    <w:rsid w:val="00A95ACB"/>
    <w:rsid w:val="00A95B1F"/>
    <w:rsid w:val="00A963BA"/>
    <w:rsid w:val="00A97194"/>
    <w:rsid w:val="00A972BD"/>
    <w:rsid w:val="00A9761B"/>
    <w:rsid w:val="00A97A29"/>
    <w:rsid w:val="00AA1395"/>
    <w:rsid w:val="00AA19B0"/>
    <w:rsid w:val="00AA245B"/>
    <w:rsid w:val="00AA2548"/>
    <w:rsid w:val="00AA2E59"/>
    <w:rsid w:val="00AA4B8D"/>
    <w:rsid w:val="00AA5539"/>
    <w:rsid w:val="00AA6C13"/>
    <w:rsid w:val="00AA6C68"/>
    <w:rsid w:val="00AA768A"/>
    <w:rsid w:val="00AA76DB"/>
    <w:rsid w:val="00AB07BD"/>
    <w:rsid w:val="00AB1B59"/>
    <w:rsid w:val="00AB458C"/>
    <w:rsid w:val="00AB4BC8"/>
    <w:rsid w:val="00AB5BBA"/>
    <w:rsid w:val="00AB758C"/>
    <w:rsid w:val="00AC0D3C"/>
    <w:rsid w:val="00AC1B6F"/>
    <w:rsid w:val="00AC2DE4"/>
    <w:rsid w:val="00AC3141"/>
    <w:rsid w:val="00AC39B8"/>
    <w:rsid w:val="00AC4370"/>
    <w:rsid w:val="00AC43A0"/>
    <w:rsid w:val="00AC5554"/>
    <w:rsid w:val="00AC6D57"/>
    <w:rsid w:val="00AC7265"/>
    <w:rsid w:val="00AC74C4"/>
    <w:rsid w:val="00AD08F6"/>
    <w:rsid w:val="00AD0D95"/>
    <w:rsid w:val="00AD1B08"/>
    <w:rsid w:val="00AD2988"/>
    <w:rsid w:val="00AD356A"/>
    <w:rsid w:val="00AD725C"/>
    <w:rsid w:val="00AE11C3"/>
    <w:rsid w:val="00AE31A9"/>
    <w:rsid w:val="00AE3B42"/>
    <w:rsid w:val="00AE3CF6"/>
    <w:rsid w:val="00AE3F29"/>
    <w:rsid w:val="00AE4704"/>
    <w:rsid w:val="00AE78B7"/>
    <w:rsid w:val="00AF12FF"/>
    <w:rsid w:val="00AF1C6D"/>
    <w:rsid w:val="00AF591D"/>
    <w:rsid w:val="00AF7552"/>
    <w:rsid w:val="00B005BD"/>
    <w:rsid w:val="00B01F3F"/>
    <w:rsid w:val="00B04A40"/>
    <w:rsid w:val="00B066CC"/>
    <w:rsid w:val="00B06A1C"/>
    <w:rsid w:val="00B06D31"/>
    <w:rsid w:val="00B06FE7"/>
    <w:rsid w:val="00B0757C"/>
    <w:rsid w:val="00B102B6"/>
    <w:rsid w:val="00B104D2"/>
    <w:rsid w:val="00B11AD7"/>
    <w:rsid w:val="00B14E0A"/>
    <w:rsid w:val="00B1503B"/>
    <w:rsid w:val="00B1708A"/>
    <w:rsid w:val="00B20AB8"/>
    <w:rsid w:val="00B20C75"/>
    <w:rsid w:val="00B20E45"/>
    <w:rsid w:val="00B20EE6"/>
    <w:rsid w:val="00B21CBE"/>
    <w:rsid w:val="00B235F4"/>
    <w:rsid w:val="00B24053"/>
    <w:rsid w:val="00B24518"/>
    <w:rsid w:val="00B24C71"/>
    <w:rsid w:val="00B25984"/>
    <w:rsid w:val="00B276C4"/>
    <w:rsid w:val="00B304C3"/>
    <w:rsid w:val="00B31D7E"/>
    <w:rsid w:val="00B323D0"/>
    <w:rsid w:val="00B3394A"/>
    <w:rsid w:val="00B360A5"/>
    <w:rsid w:val="00B36610"/>
    <w:rsid w:val="00B370FE"/>
    <w:rsid w:val="00B37E31"/>
    <w:rsid w:val="00B37EE1"/>
    <w:rsid w:val="00B40717"/>
    <w:rsid w:val="00B40C3B"/>
    <w:rsid w:val="00B40F8A"/>
    <w:rsid w:val="00B41419"/>
    <w:rsid w:val="00B42259"/>
    <w:rsid w:val="00B426C4"/>
    <w:rsid w:val="00B42C38"/>
    <w:rsid w:val="00B43065"/>
    <w:rsid w:val="00B43A0D"/>
    <w:rsid w:val="00B4526B"/>
    <w:rsid w:val="00B45D99"/>
    <w:rsid w:val="00B4625C"/>
    <w:rsid w:val="00B467F0"/>
    <w:rsid w:val="00B4773D"/>
    <w:rsid w:val="00B50BF5"/>
    <w:rsid w:val="00B54446"/>
    <w:rsid w:val="00B556DC"/>
    <w:rsid w:val="00B5575E"/>
    <w:rsid w:val="00B573AA"/>
    <w:rsid w:val="00B57F5F"/>
    <w:rsid w:val="00B6078A"/>
    <w:rsid w:val="00B613C9"/>
    <w:rsid w:val="00B61FE7"/>
    <w:rsid w:val="00B62873"/>
    <w:rsid w:val="00B642A2"/>
    <w:rsid w:val="00B64B36"/>
    <w:rsid w:val="00B711CC"/>
    <w:rsid w:val="00B712F0"/>
    <w:rsid w:val="00B71555"/>
    <w:rsid w:val="00B734A5"/>
    <w:rsid w:val="00B7441D"/>
    <w:rsid w:val="00B74F5F"/>
    <w:rsid w:val="00B7687C"/>
    <w:rsid w:val="00B77531"/>
    <w:rsid w:val="00B7758B"/>
    <w:rsid w:val="00B77BAE"/>
    <w:rsid w:val="00B81EC2"/>
    <w:rsid w:val="00B82BBB"/>
    <w:rsid w:val="00B83EE8"/>
    <w:rsid w:val="00B84E73"/>
    <w:rsid w:val="00B8552A"/>
    <w:rsid w:val="00B85C39"/>
    <w:rsid w:val="00B86271"/>
    <w:rsid w:val="00B864B4"/>
    <w:rsid w:val="00B86A33"/>
    <w:rsid w:val="00B86D5C"/>
    <w:rsid w:val="00B92D4A"/>
    <w:rsid w:val="00B93179"/>
    <w:rsid w:val="00B9502D"/>
    <w:rsid w:val="00B954C6"/>
    <w:rsid w:val="00B96109"/>
    <w:rsid w:val="00B971C5"/>
    <w:rsid w:val="00B97E04"/>
    <w:rsid w:val="00BA07AF"/>
    <w:rsid w:val="00BA0B28"/>
    <w:rsid w:val="00BA1544"/>
    <w:rsid w:val="00BA233B"/>
    <w:rsid w:val="00BA2D1C"/>
    <w:rsid w:val="00BA36FB"/>
    <w:rsid w:val="00BA3EB9"/>
    <w:rsid w:val="00BA5A23"/>
    <w:rsid w:val="00BA6AC7"/>
    <w:rsid w:val="00BA6BE0"/>
    <w:rsid w:val="00BA74E9"/>
    <w:rsid w:val="00BA7559"/>
    <w:rsid w:val="00BA7A7F"/>
    <w:rsid w:val="00BB0A13"/>
    <w:rsid w:val="00BB0D43"/>
    <w:rsid w:val="00BB1757"/>
    <w:rsid w:val="00BB6788"/>
    <w:rsid w:val="00BB6971"/>
    <w:rsid w:val="00BB6EE1"/>
    <w:rsid w:val="00BB6F08"/>
    <w:rsid w:val="00BB7639"/>
    <w:rsid w:val="00BB76FE"/>
    <w:rsid w:val="00BB7BFF"/>
    <w:rsid w:val="00BB7F14"/>
    <w:rsid w:val="00BC0631"/>
    <w:rsid w:val="00BC198A"/>
    <w:rsid w:val="00BC59CF"/>
    <w:rsid w:val="00BD0DD4"/>
    <w:rsid w:val="00BD1FF4"/>
    <w:rsid w:val="00BD207C"/>
    <w:rsid w:val="00BD35F8"/>
    <w:rsid w:val="00BD411A"/>
    <w:rsid w:val="00BD49C5"/>
    <w:rsid w:val="00BD4F21"/>
    <w:rsid w:val="00BD4F85"/>
    <w:rsid w:val="00BD507F"/>
    <w:rsid w:val="00BD5DD4"/>
    <w:rsid w:val="00BE3997"/>
    <w:rsid w:val="00BE5B4B"/>
    <w:rsid w:val="00BE6652"/>
    <w:rsid w:val="00BE699D"/>
    <w:rsid w:val="00BE7101"/>
    <w:rsid w:val="00BF0821"/>
    <w:rsid w:val="00BF0949"/>
    <w:rsid w:val="00BF0DDC"/>
    <w:rsid w:val="00BF1C70"/>
    <w:rsid w:val="00BF35EA"/>
    <w:rsid w:val="00BF5985"/>
    <w:rsid w:val="00BF59E9"/>
    <w:rsid w:val="00BF7591"/>
    <w:rsid w:val="00BF7D4E"/>
    <w:rsid w:val="00C0052B"/>
    <w:rsid w:val="00C02BE1"/>
    <w:rsid w:val="00C02C56"/>
    <w:rsid w:val="00C02D65"/>
    <w:rsid w:val="00C02DBC"/>
    <w:rsid w:val="00C03166"/>
    <w:rsid w:val="00C03317"/>
    <w:rsid w:val="00C04109"/>
    <w:rsid w:val="00C055ED"/>
    <w:rsid w:val="00C07695"/>
    <w:rsid w:val="00C1011B"/>
    <w:rsid w:val="00C1024B"/>
    <w:rsid w:val="00C116CD"/>
    <w:rsid w:val="00C12B8D"/>
    <w:rsid w:val="00C13BD5"/>
    <w:rsid w:val="00C175C7"/>
    <w:rsid w:val="00C17968"/>
    <w:rsid w:val="00C20F9C"/>
    <w:rsid w:val="00C2189D"/>
    <w:rsid w:val="00C222E0"/>
    <w:rsid w:val="00C227DA"/>
    <w:rsid w:val="00C22D69"/>
    <w:rsid w:val="00C22F6D"/>
    <w:rsid w:val="00C233D2"/>
    <w:rsid w:val="00C2396D"/>
    <w:rsid w:val="00C24245"/>
    <w:rsid w:val="00C254AF"/>
    <w:rsid w:val="00C25602"/>
    <w:rsid w:val="00C266AF"/>
    <w:rsid w:val="00C26F23"/>
    <w:rsid w:val="00C27212"/>
    <w:rsid w:val="00C311B1"/>
    <w:rsid w:val="00C33836"/>
    <w:rsid w:val="00C34467"/>
    <w:rsid w:val="00C356FE"/>
    <w:rsid w:val="00C370F4"/>
    <w:rsid w:val="00C37203"/>
    <w:rsid w:val="00C37611"/>
    <w:rsid w:val="00C4103B"/>
    <w:rsid w:val="00C41BF3"/>
    <w:rsid w:val="00C42CF8"/>
    <w:rsid w:val="00C432DA"/>
    <w:rsid w:val="00C4355E"/>
    <w:rsid w:val="00C46CAE"/>
    <w:rsid w:val="00C5002C"/>
    <w:rsid w:val="00C50552"/>
    <w:rsid w:val="00C516E6"/>
    <w:rsid w:val="00C51D25"/>
    <w:rsid w:val="00C528B8"/>
    <w:rsid w:val="00C52D45"/>
    <w:rsid w:val="00C56632"/>
    <w:rsid w:val="00C56FE7"/>
    <w:rsid w:val="00C57446"/>
    <w:rsid w:val="00C61D1A"/>
    <w:rsid w:val="00C630B4"/>
    <w:rsid w:val="00C6319E"/>
    <w:rsid w:val="00C6373E"/>
    <w:rsid w:val="00C64A5A"/>
    <w:rsid w:val="00C65606"/>
    <w:rsid w:val="00C65FAD"/>
    <w:rsid w:val="00C662D8"/>
    <w:rsid w:val="00C66E17"/>
    <w:rsid w:val="00C70085"/>
    <w:rsid w:val="00C70728"/>
    <w:rsid w:val="00C71434"/>
    <w:rsid w:val="00C72BDB"/>
    <w:rsid w:val="00C73D62"/>
    <w:rsid w:val="00C7424D"/>
    <w:rsid w:val="00C745CF"/>
    <w:rsid w:val="00C746E6"/>
    <w:rsid w:val="00C800AF"/>
    <w:rsid w:val="00C816E4"/>
    <w:rsid w:val="00C81771"/>
    <w:rsid w:val="00C81ABF"/>
    <w:rsid w:val="00C84971"/>
    <w:rsid w:val="00C86A4C"/>
    <w:rsid w:val="00C86ADC"/>
    <w:rsid w:val="00C90292"/>
    <w:rsid w:val="00C93101"/>
    <w:rsid w:val="00C93FA0"/>
    <w:rsid w:val="00C95ECF"/>
    <w:rsid w:val="00C96208"/>
    <w:rsid w:val="00C9780F"/>
    <w:rsid w:val="00C978DE"/>
    <w:rsid w:val="00CA3680"/>
    <w:rsid w:val="00CA4DCA"/>
    <w:rsid w:val="00CA5446"/>
    <w:rsid w:val="00CA5AF6"/>
    <w:rsid w:val="00CA61DC"/>
    <w:rsid w:val="00CA6415"/>
    <w:rsid w:val="00CA782F"/>
    <w:rsid w:val="00CA7ADD"/>
    <w:rsid w:val="00CA7E94"/>
    <w:rsid w:val="00CB08F1"/>
    <w:rsid w:val="00CB3ECD"/>
    <w:rsid w:val="00CB4519"/>
    <w:rsid w:val="00CB53C7"/>
    <w:rsid w:val="00CB5BD5"/>
    <w:rsid w:val="00CB6165"/>
    <w:rsid w:val="00CB7615"/>
    <w:rsid w:val="00CB7ED0"/>
    <w:rsid w:val="00CC00D8"/>
    <w:rsid w:val="00CC0195"/>
    <w:rsid w:val="00CC0FC0"/>
    <w:rsid w:val="00CC1A7F"/>
    <w:rsid w:val="00CC1E98"/>
    <w:rsid w:val="00CC39DF"/>
    <w:rsid w:val="00CC4632"/>
    <w:rsid w:val="00CC4646"/>
    <w:rsid w:val="00CC4BAD"/>
    <w:rsid w:val="00CC5C9B"/>
    <w:rsid w:val="00CC5F29"/>
    <w:rsid w:val="00CC7113"/>
    <w:rsid w:val="00CC72DF"/>
    <w:rsid w:val="00CC77D1"/>
    <w:rsid w:val="00CD0B1E"/>
    <w:rsid w:val="00CD22FD"/>
    <w:rsid w:val="00CD2FA5"/>
    <w:rsid w:val="00CD44C8"/>
    <w:rsid w:val="00CD66AD"/>
    <w:rsid w:val="00CE2A3D"/>
    <w:rsid w:val="00CE2B9F"/>
    <w:rsid w:val="00CE31F9"/>
    <w:rsid w:val="00CE44BE"/>
    <w:rsid w:val="00CE469D"/>
    <w:rsid w:val="00CE4D78"/>
    <w:rsid w:val="00CE5EC1"/>
    <w:rsid w:val="00CE6845"/>
    <w:rsid w:val="00CE774B"/>
    <w:rsid w:val="00CE7B1E"/>
    <w:rsid w:val="00CF015B"/>
    <w:rsid w:val="00CF0B52"/>
    <w:rsid w:val="00CF1B22"/>
    <w:rsid w:val="00CF1D08"/>
    <w:rsid w:val="00CF524D"/>
    <w:rsid w:val="00CF627F"/>
    <w:rsid w:val="00CF6867"/>
    <w:rsid w:val="00D01744"/>
    <w:rsid w:val="00D01D7D"/>
    <w:rsid w:val="00D01F37"/>
    <w:rsid w:val="00D03242"/>
    <w:rsid w:val="00D03C86"/>
    <w:rsid w:val="00D042F1"/>
    <w:rsid w:val="00D04FC3"/>
    <w:rsid w:val="00D06E7A"/>
    <w:rsid w:val="00D07985"/>
    <w:rsid w:val="00D10552"/>
    <w:rsid w:val="00D10BB3"/>
    <w:rsid w:val="00D140BF"/>
    <w:rsid w:val="00D141A2"/>
    <w:rsid w:val="00D152AC"/>
    <w:rsid w:val="00D156E1"/>
    <w:rsid w:val="00D15F88"/>
    <w:rsid w:val="00D164EE"/>
    <w:rsid w:val="00D20412"/>
    <w:rsid w:val="00D237F2"/>
    <w:rsid w:val="00D24511"/>
    <w:rsid w:val="00D246BB"/>
    <w:rsid w:val="00D26813"/>
    <w:rsid w:val="00D26BD4"/>
    <w:rsid w:val="00D27ED4"/>
    <w:rsid w:val="00D30FFF"/>
    <w:rsid w:val="00D322A6"/>
    <w:rsid w:val="00D32651"/>
    <w:rsid w:val="00D3267B"/>
    <w:rsid w:val="00D328D2"/>
    <w:rsid w:val="00D32CD5"/>
    <w:rsid w:val="00D32E12"/>
    <w:rsid w:val="00D32E93"/>
    <w:rsid w:val="00D33653"/>
    <w:rsid w:val="00D352B9"/>
    <w:rsid w:val="00D40BDC"/>
    <w:rsid w:val="00D42866"/>
    <w:rsid w:val="00D42C2E"/>
    <w:rsid w:val="00D4381C"/>
    <w:rsid w:val="00D45B20"/>
    <w:rsid w:val="00D46FAB"/>
    <w:rsid w:val="00D472C6"/>
    <w:rsid w:val="00D4773E"/>
    <w:rsid w:val="00D50913"/>
    <w:rsid w:val="00D5145A"/>
    <w:rsid w:val="00D529CC"/>
    <w:rsid w:val="00D53612"/>
    <w:rsid w:val="00D5605A"/>
    <w:rsid w:val="00D56498"/>
    <w:rsid w:val="00D569C5"/>
    <w:rsid w:val="00D56C1E"/>
    <w:rsid w:val="00D6162C"/>
    <w:rsid w:val="00D61CFA"/>
    <w:rsid w:val="00D621EB"/>
    <w:rsid w:val="00D62FFD"/>
    <w:rsid w:val="00D6375F"/>
    <w:rsid w:val="00D6391D"/>
    <w:rsid w:val="00D64F3D"/>
    <w:rsid w:val="00D65A06"/>
    <w:rsid w:val="00D672C5"/>
    <w:rsid w:val="00D675D9"/>
    <w:rsid w:val="00D6762C"/>
    <w:rsid w:val="00D67710"/>
    <w:rsid w:val="00D70817"/>
    <w:rsid w:val="00D71BDD"/>
    <w:rsid w:val="00D72510"/>
    <w:rsid w:val="00D732BD"/>
    <w:rsid w:val="00D7368F"/>
    <w:rsid w:val="00D758A1"/>
    <w:rsid w:val="00D7625C"/>
    <w:rsid w:val="00D777A2"/>
    <w:rsid w:val="00D8142B"/>
    <w:rsid w:val="00D8294F"/>
    <w:rsid w:val="00D82DC3"/>
    <w:rsid w:val="00D833B1"/>
    <w:rsid w:val="00D8420B"/>
    <w:rsid w:val="00D8475C"/>
    <w:rsid w:val="00D851AE"/>
    <w:rsid w:val="00D85329"/>
    <w:rsid w:val="00D85948"/>
    <w:rsid w:val="00D87872"/>
    <w:rsid w:val="00D90E33"/>
    <w:rsid w:val="00D91505"/>
    <w:rsid w:val="00D91F23"/>
    <w:rsid w:val="00D9270C"/>
    <w:rsid w:val="00D9455B"/>
    <w:rsid w:val="00D94D70"/>
    <w:rsid w:val="00D95388"/>
    <w:rsid w:val="00D972BB"/>
    <w:rsid w:val="00DA02AC"/>
    <w:rsid w:val="00DA2E99"/>
    <w:rsid w:val="00DA3117"/>
    <w:rsid w:val="00DA3FCE"/>
    <w:rsid w:val="00DA4658"/>
    <w:rsid w:val="00DA488D"/>
    <w:rsid w:val="00DA4951"/>
    <w:rsid w:val="00DA54F0"/>
    <w:rsid w:val="00DA65F8"/>
    <w:rsid w:val="00DA763C"/>
    <w:rsid w:val="00DB67E2"/>
    <w:rsid w:val="00DB6A8B"/>
    <w:rsid w:val="00DC0AC2"/>
    <w:rsid w:val="00DC11DC"/>
    <w:rsid w:val="00DC157E"/>
    <w:rsid w:val="00DC18BA"/>
    <w:rsid w:val="00DC28D5"/>
    <w:rsid w:val="00DC2954"/>
    <w:rsid w:val="00DC3FBE"/>
    <w:rsid w:val="00DC4212"/>
    <w:rsid w:val="00DC5031"/>
    <w:rsid w:val="00DC5F58"/>
    <w:rsid w:val="00DC60CA"/>
    <w:rsid w:val="00DC6470"/>
    <w:rsid w:val="00DC715E"/>
    <w:rsid w:val="00DD1938"/>
    <w:rsid w:val="00DD1FC3"/>
    <w:rsid w:val="00DD20F3"/>
    <w:rsid w:val="00DD61A1"/>
    <w:rsid w:val="00DD7E53"/>
    <w:rsid w:val="00DE10AB"/>
    <w:rsid w:val="00DE47F2"/>
    <w:rsid w:val="00DE493F"/>
    <w:rsid w:val="00DE5D22"/>
    <w:rsid w:val="00DF03B9"/>
    <w:rsid w:val="00DF2328"/>
    <w:rsid w:val="00DF4700"/>
    <w:rsid w:val="00DF5A9C"/>
    <w:rsid w:val="00DF69D9"/>
    <w:rsid w:val="00DF7281"/>
    <w:rsid w:val="00DF742D"/>
    <w:rsid w:val="00DF77C3"/>
    <w:rsid w:val="00E00138"/>
    <w:rsid w:val="00E001A7"/>
    <w:rsid w:val="00E001BE"/>
    <w:rsid w:val="00E01C22"/>
    <w:rsid w:val="00E05046"/>
    <w:rsid w:val="00E05336"/>
    <w:rsid w:val="00E06EE2"/>
    <w:rsid w:val="00E070CD"/>
    <w:rsid w:val="00E1092A"/>
    <w:rsid w:val="00E10F51"/>
    <w:rsid w:val="00E12C5F"/>
    <w:rsid w:val="00E13D27"/>
    <w:rsid w:val="00E155DF"/>
    <w:rsid w:val="00E17BE6"/>
    <w:rsid w:val="00E20D00"/>
    <w:rsid w:val="00E21E87"/>
    <w:rsid w:val="00E22393"/>
    <w:rsid w:val="00E232B2"/>
    <w:rsid w:val="00E25222"/>
    <w:rsid w:val="00E273F3"/>
    <w:rsid w:val="00E274FB"/>
    <w:rsid w:val="00E27E47"/>
    <w:rsid w:val="00E3025A"/>
    <w:rsid w:val="00E303A5"/>
    <w:rsid w:val="00E328A6"/>
    <w:rsid w:val="00E33662"/>
    <w:rsid w:val="00E339A7"/>
    <w:rsid w:val="00E402EB"/>
    <w:rsid w:val="00E405C9"/>
    <w:rsid w:val="00E414DD"/>
    <w:rsid w:val="00E43D05"/>
    <w:rsid w:val="00E44583"/>
    <w:rsid w:val="00E46569"/>
    <w:rsid w:val="00E508C6"/>
    <w:rsid w:val="00E50D4D"/>
    <w:rsid w:val="00E51AA6"/>
    <w:rsid w:val="00E529B2"/>
    <w:rsid w:val="00E5319A"/>
    <w:rsid w:val="00E53ABE"/>
    <w:rsid w:val="00E55854"/>
    <w:rsid w:val="00E55E0C"/>
    <w:rsid w:val="00E573A5"/>
    <w:rsid w:val="00E57BB3"/>
    <w:rsid w:val="00E57C27"/>
    <w:rsid w:val="00E60781"/>
    <w:rsid w:val="00E60A2B"/>
    <w:rsid w:val="00E60A66"/>
    <w:rsid w:val="00E63E21"/>
    <w:rsid w:val="00E64B4B"/>
    <w:rsid w:val="00E65728"/>
    <w:rsid w:val="00E65799"/>
    <w:rsid w:val="00E664DF"/>
    <w:rsid w:val="00E67203"/>
    <w:rsid w:val="00E673D1"/>
    <w:rsid w:val="00E702FA"/>
    <w:rsid w:val="00E71126"/>
    <w:rsid w:val="00E71B75"/>
    <w:rsid w:val="00E73879"/>
    <w:rsid w:val="00E76B24"/>
    <w:rsid w:val="00E80D96"/>
    <w:rsid w:val="00E82340"/>
    <w:rsid w:val="00E84831"/>
    <w:rsid w:val="00E84CAE"/>
    <w:rsid w:val="00E86C4E"/>
    <w:rsid w:val="00E87BFE"/>
    <w:rsid w:val="00E907BB"/>
    <w:rsid w:val="00E90C03"/>
    <w:rsid w:val="00E91E5F"/>
    <w:rsid w:val="00E92495"/>
    <w:rsid w:val="00E9344C"/>
    <w:rsid w:val="00E93BC8"/>
    <w:rsid w:val="00E964A5"/>
    <w:rsid w:val="00E96B79"/>
    <w:rsid w:val="00E97075"/>
    <w:rsid w:val="00E972F8"/>
    <w:rsid w:val="00E97C6B"/>
    <w:rsid w:val="00E97E50"/>
    <w:rsid w:val="00EA07E8"/>
    <w:rsid w:val="00EA35CF"/>
    <w:rsid w:val="00EA54B5"/>
    <w:rsid w:val="00EB2BF8"/>
    <w:rsid w:val="00EB2D28"/>
    <w:rsid w:val="00EB3354"/>
    <w:rsid w:val="00EB5E2F"/>
    <w:rsid w:val="00EB6C4F"/>
    <w:rsid w:val="00EB77DE"/>
    <w:rsid w:val="00EC03DC"/>
    <w:rsid w:val="00EC06E8"/>
    <w:rsid w:val="00EC08BA"/>
    <w:rsid w:val="00EC194D"/>
    <w:rsid w:val="00EC2F7C"/>
    <w:rsid w:val="00EC38DE"/>
    <w:rsid w:val="00EC3F2E"/>
    <w:rsid w:val="00EC4618"/>
    <w:rsid w:val="00EC4713"/>
    <w:rsid w:val="00EC5A6D"/>
    <w:rsid w:val="00EC6074"/>
    <w:rsid w:val="00EC653A"/>
    <w:rsid w:val="00EC679E"/>
    <w:rsid w:val="00EC6FE9"/>
    <w:rsid w:val="00EC72D2"/>
    <w:rsid w:val="00EC78BB"/>
    <w:rsid w:val="00ED0486"/>
    <w:rsid w:val="00ED1447"/>
    <w:rsid w:val="00ED14FF"/>
    <w:rsid w:val="00ED173B"/>
    <w:rsid w:val="00ED5E8F"/>
    <w:rsid w:val="00ED7DF9"/>
    <w:rsid w:val="00EE1DBE"/>
    <w:rsid w:val="00EE1FCC"/>
    <w:rsid w:val="00EE3C14"/>
    <w:rsid w:val="00EE3DB0"/>
    <w:rsid w:val="00EE6E0D"/>
    <w:rsid w:val="00EF0979"/>
    <w:rsid w:val="00EF1B29"/>
    <w:rsid w:val="00EF1D40"/>
    <w:rsid w:val="00EF392C"/>
    <w:rsid w:val="00EF4A00"/>
    <w:rsid w:val="00EF5704"/>
    <w:rsid w:val="00EF656E"/>
    <w:rsid w:val="00EF661E"/>
    <w:rsid w:val="00EF7455"/>
    <w:rsid w:val="00F00D48"/>
    <w:rsid w:val="00F02182"/>
    <w:rsid w:val="00F027E9"/>
    <w:rsid w:val="00F03B43"/>
    <w:rsid w:val="00F04F93"/>
    <w:rsid w:val="00F069F5"/>
    <w:rsid w:val="00F072DA"/>
    <w:rsid w:val="00F07C9F"/>
    <w:rsid w:val="00F13097"/>
    <w:rsid w:val="00F13F84"/>
    <w:rsid w:val="00F14738"/>
    <w:rsid w:val="00F161C3"/>
    <w:rsid w:val="00F20A6D"/>
    <w:rsid w:val="00F22AC5"/>
    <w:rsid w:val="00F23072"/>
    <w:rsid w:val="00F23935"/>
    <w:rsid w:val="00F24B64"/>
    <w:rsid w:val="00F24E67"/>
    <w:rsid w:val="00F26689"/>
    <w:rsid w:val="00F2766B"/>
    <w:rsid w:val="00F31422"/>
    <w:rsid w:val="00F32379"/>
    <w:rsid w:val="00F3286C"/>
    <w:rsid w:val="00F32C0F"/>
    <w:rsid w:val="00F33269"/>
    <w:rsid w:val="00F33C11"/>
    <w:rsid w:val="00F34417"/>
    <w:rsid w:val="00F34854"/>
    <w:rsid w:val="00F34B36"/>
    <w:rsid w:val="00F36696"/>
    <w:rsid w:val="00F37A97"/>
    <w:rsid w:val="00F37EA6"/>
    <w:rsid w:val="00F409A4"/>
    <w:rsid w:val="00F427C0"/>
    <w:rsid w:val="00F42AA4"/>
    <w:rsid w:val="00F436DB"/>
    <w:rsid w:val="00F43C73"/>
    <w:rsid w:val="00F43E22"/>
    <w:rsid w:val="00F43EFC"/>
    <w:rsid w:val="00F442D4"/>
    <w:rsid w:val="00F44AF8"/>
    <w:rsid w:val="00F45324"/>
    <w:rsid w:val="00F4705A"/>
    <w:rsid w:val="00F47347"/>
    <w:rsid w:val="00F52050"/>
    <w:rsid w:val="00F52344"/>
    <w:rsid w:val="00F5319F"/>
    <w:rsid w:val="00F5335B"/>
    <w:rsid w:val="00F53A99"/>
    <w:rsid w:val="00F5779A"/>
    <w:rsid w:val="00F60479"/>
    <w:rsid w:val="00F6073A"/>
    <w:rsid w:val="00F609EA"/>
    <w:rsid w:val="00F63D49"/>
    <w:rsid w:val="00F65A15"/>
    <w:rsid w:val="00F65A99"/>
    <w:rsid w:val="00F663E2"/>
    <w:rsid w:val="00F673CB"/>
    <w:rsid w:val="00F709C5"/>
    <w:rsid w:val="00F70B14"/>
    <w:rsid w:val="00F724A3"/>
    <w:rsid w:val="00F72D31"/>
    <w:rsid w:val="00F72D50"/>
    <w:rsid w:val="00F73115"/>
    <w:rsid w:val="00F731AE"/>
    <w:rsid w:val="00F745AC"/>
    <w:rsid w:val="00F74EBF"/>
    <w:rsid w:val="00F750FF"/>
    <w:rsid w:val="00F75E8E"/>
    <w:rsid w:val="00F77415"/>
    <w:rsid w:val="00F77D16"/>
    <w:rsid w:val="00F816EC"/>
    <w:rsid w:val="00F82E1F"/>
    <w:rsid w:val="00F83CC0"/>
    <w:rsid w:val="00F845BD"/>
    <w:rsid w:val="00F85DE9"/>
    <w:rsid w:val="00F863B1"/>
    <w:rsid w:val="00F867A8"/>
    <w:rsid w:val="00F86A29"/>
    <w:rsid w:val="00F87ABD"/>
    <w:rsid w:val="00F87CE8"/>
    <w:rsid w:val="00F900F1"/>
    <w:rsid w:val="00F91289"/>
    <w:rsid w:val="00F92727"/>
    <w:rsid w:val="00F92F18"/>
    <w:rsid w:val="00F94CCA"/>
    <w:rsid w:val="00F954CB"/>
    <w:rsid w:val="00F9596E"/>
    <w:rsid w:val="00FA2409"/>
    <w:rsid w:val="00FA6278"/>
    <w:rsid w:val="00FA7C10"/>
    <w:rsid w:val="00FB3219"/>
    <w:rsid w:val="00FB353B"/>
    <w:rsid w:val="00FB791A"/>
    <w:rsid w:val="00FC21AD"/>
    <w:rsid w:val="00FC22EB"/>
    <w:rsid w:val="00FC2803"/>
    <w:rsid w:val="00FC6B4D"/>
    <w:rsid w:val="00FC6FFD"/>
    <w:rsid w:val="00FD0A0C"/>
    <w:rsid w:val="00FD23AA"/>
    <w:rsid w:val="00FD3B41"/>
    <w:rsid w:val="00FD5789"/>
    <w:rsid w:val="00FD5976"/>
    <w:rsid w:val="00FD78B8"/>
    <w:rsid w:val="00FD7A2E"/>
    <w:rsid w:val="00FE0567"/>
    <w:rsid w:val="00FE0F38"/>
    <w:rsid w:val="00FE349F"/>
    <w:rsid w:val="00FE7740"/>
    <w:rsid w:val="00FF065F"/>
    <w:rsid w:val="00FF2100"/>
    <w:rsid w:val="00FF29BA"/>
    <w:rsid w:val="00FF3E39"/>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28B638"/>
  <w15:chartTrackingRefBased/>
  <w15:docId w15:val="{1ABC6C85-0ABD-4F57-A195-FAD823C8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paragraph" w:styleId="Titolo1">
    <w:name w:val="heading 1"/>
    <w:basedOn w:val="Normale"/>
    <w:next w:val="Normale"/>
    <w:qFormat/>
    <w:rsid w:val="00CC4646"/>
    <w:pPr>
      <w:keepNext/>
      <w:keepLines/>
      <w:numPr>
        <w:numId w:val="1"/>
      </w:numPr>
      <w:spacing w:after="0" w:line="240" w:lineRule="auto"/>
      <w:jc w:val="both"/>
      <w:outlineLvl w:val="0"/>
    </w:pPr>
    <w:rPr>
      <w:rFonts w:ascii="Verdana" w:hAnsi="Verdana" w:cs="Cambria"/>
      <w:b/>
      <w:color w:val="365F91"/>
      <w:sz w:val="32"/>
      <w:szCs w:val="32"/>
      <w:lang w:val="x-none"/>
    </w:rPr>
  </w:style>
  <w:style w:type="paragraph" w:styleId="Titolo2">
    <w:name w:val="heading 2"/>
    <w:basedOn w:val="Normale"/>
    <w:next w:val="Normale"/>
    <w:qFormat/>
    <w:rsid w:val="009E6FC7"/>
    <w:pPr>
      <w:keepNext/>
      <w:keepLines/>
      <w:spacing w:after="0" w:line="240" w:lineRule="auto"/>
      <w:jc w:val="both"/>
      <w:outlineLvl w:val="1"/>
    </w:pPr>
    <w:rPr>
      <w:rFonts w:ascii="Verdana" w:hAnsi="Verdana" w:cs="Cambria"/>
      <w:b/>
      <w:bCs/>
      <w:color w:val="4F81BD"/>
      <w:sz w:val="24"/>
      <w:szCs w:val="26"/>
      <w:lang w:val="x-none"/>
    </w:rPr>
  </w:style>
  <w:style w:type="paragraph" w:styleId="Titolo3">
    <w:name w:val="heading 3"/>
    <w:basedOn w:val="Normale"/>
    <w:next w:val="Normale"/>
    <w:qFormat/>
    <w:rsid w:val="00335035"/>
    <w:pPr>
      <w:keepNext/>
      <w:spacing w:before="240" w:after="60"/>
      <w:outlineLvl w:val="2"/>
    </w:pPr>
    <w:rPr>
      <w:rFonts w:ascii="Verdana" w:hAnsi="Verdana" w:cs="Cambria"/>
      <w:b/>
      <w:bCs/>
      <w:i/>
      <w:color w:val="365F91"/>
      <w:szCs w:val="26"/>
      <w:lang w:val="x-none"/>
    </w:rPr>
  </w:style>
  <w:style w:type="paragraph" w:styleId="Titolo4">
    <w:name w:val="heading 4"/>
    <w:basedOn w:val="Normale"/>
    <w:next w:val="Normale"/>
    <w:qFormat/>
    <w:pPr>
      <w:keepNext/>
      <w:spacing w:before="240" w:after="60"/>
      <w:outlineLvl w:val="3"/>
    </w:pPr>
    <w:rPr>
      <w:b/>
      <w:bCs/>
      <w:sz w:val="28"/>
      <w:szCs w:val="28"/>
      <w:lang w:val="x-none"/>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alibri" w:hAnsi="Symbol" w:cs="Symbol"/>
      <w:color w:val="000000"/>
      <w:sz w:val="24"/>
      <w:szCs w:val="24"/>
      <w:highlight w:val="yellow"/>
      <w:lang w:val="it-IT" w:eastAsia="zh-CN" w:bidi="ar-SA"/>
    </w:rPr>
  </w:style>
  <w:style w:type="character" w:customStyle="1" w:styleId="WW8Num3z0">
    <w:name w:val="WW8Num3z0"/>
    <w:rPr>
      <w:rFonts w:ascii="Calibri" w:hAnsi="Calibri" w:cs="Calibri"/>
      <w:sz w:val="24"/>
      <w:szCs w:val="24"/>
    </w:rPr>
  </w:style>
  <w:style w:type="character" w:customStyle="1" w:styleId="WW8Num4z0">
    <w:name w:val="WW8Num4z0"/>
    <w:rPr>
      <w:rFonts w:ascii="Times New Roman" w:eastAsia="Calibri" w:hAnsi="Times New Roman" w:cs="Times New Roman"/>
      <w:color w:val="000000"/>
      <w:sz w:val="24"/>
      <w:szCs w:val="24"/>
      <w:highlight w:val="yellow"/>
      <w:lang w:val="it-IT" w:eastAsia="it-IT" w:bidi="ar-SA"/>
    </w:rPr>
  </w:style>
  <w:style w:type="character" w:customStyle="1" w:styleId="WW8Num5z0">
    <w:name w:val="WW8Num5z0"/>
    <w:rPr>
      <w:rFonts w:ascii="Symbol" w:hAnsi="Symbol" w:cs="Symbol"/>
      <w:sz w:val="24"/>
      <w:szCs w:val="24"/>
    </w:rPr>
  </w:style>
  <w:style w:type="character" w:customStyle="1" w:styleId="WW8Num6z0">
    <w:name w:val="WW8Num6z0"/>
    <w:rPr>
      <w:rFonts w:ascii="Symbol" w:hAnsi="Symbol" w:cs="Symbol"/>
      <w:sz w:val="24"/>
      <w:szCs w:val="24"/>
      <w:lang w:eastAsia="it-IT"/>
    </w:rPr>
  </w:style>
  <w:style w:type="character" w:customStyle="1" w:styleId="WW8Num7z0">
    <w:name w:val="WW8Num7z0"/>
    <w:rPr>
      <w:rFonts w:ascii="Calibri" w:hAnsi="Calibri" w:cs="Times New Roman"/>
      <w:sz w:val="24"/>
      <w:szCs w:val="24"/>
      <w:lang w:eastAsia="it-IT"/>
    </w:rPr>
  </w:style>
  <w:style w:type="character" w:customStyle="1" w:styleId="WW8Num8z0">
    <w:name w:val="WW8Num8z0"/>
    <w:rPr>
      <w:rFonts w:ascii="Times New Roman" w:hAnsi="Times New Roman" w:cs="Times New Roman"/>
      <w:sz w:val="24"/>
      <w:szCs w:val="24"/>
    </w:rPr>
  </w:style>
  <w:style w:type="character" w:customStyle="1" w:styleId="WW8Num9z0">
    <w:name w:val="WW8Num9z0"/>
    <w:rPr>
      <w:rFonts w:ascii="Times New Roman" w:hAnsi="Times New Roman" w:cs="Times New Roman"/>
      <w:color w:val="000000"/>
      <w:sz w:val="24"/>
      <w:szCs w:val="24"/>
      <w:highlight w:val="lightGray"/>
      <w:shd w:val="clear" w:color="auto" w:fill="auto"/>
    </w:rPr>
  </w:style>
  <w:style w:type="character" w:customStyle="1" w:styleId="WW8Num10z0">
    <w:name w:val="WW8Num10z0"/>
    <w:rPr>
      <w:rFonts w:ascii="Calibri" w:eastAsia="Calibri" w:hAnsi="Calibri" w:cs="Times New Roman"/>
      <w:color w:val="000000"/>
      <w:sz w:val="24"/>
      <w:szCs w:val="24"/>
      <w:highlight w:val="lightGray"/>
      <w:lang w:val="it-IT" w:eastAsia="zh-CN" w:bidi="ar-SA"/>
    </w:rPr>
  </w:style>
  <w:style w:type="character" w:customStyle="1" w:styleId="WW8Num11z0">
    <w:name w:val="WW8Num11z0"/>
    <w:rPr>
      <w:rFonts w:ascii="Symbol" w:hAnsi="Symbol" w:cs="Symbol"/>
      <w:sz w:val="24"/>
      <w:szCs w:val="24"/>
    </w:rPr>
  </w:style>
  <w:style w:type="character" w:customStyle="1" w:styleId="WW8Num12z0">
    <w:name w:val="WW8Num12z0"/>
    <w:rPr>
      <w:rFonts w:ascii="Symbol" w:hAnsi="Symbol" w:cs="Symbol"/>
      <w:sz w:val="24"/>
      <w:szCs w:val="24"/>
    </w:rPr>
  </w:style>
  <w:style w:type="character" w:customStyle="1" w:styleId="WW8Num13z0">
    <w:name w:val="WW8Num13z0"/>
    <w:rPr>
      <w:rFonts w:ascii="Times New Roman" w:hAnsi="Times New Roman" w:cs="Times New Roman"/>
      <w:sz w:val="24"/>
      <w:szCs w:val="24"/>
    </w:rPr>
  </w:style>
  <w:style w:type="character" w:customStyle="1" w:styleId="WW8Num14z0">
    <w:name w:val="WW8Num14z0"/>
    <w:rPr>
      <w:rFonts w:ascii="Symbol" w:hAnsi="Symbol" w:cs="Symbol"/>
      <w:sz w:val="24"/>
      <w:szCs w:val="24"/>
    </w:rPr>
  </w:style>
  <w:style w:type="character" w:customStyle="1" w:styleId="WW8Num15z0">
    <w:name w:val="WW8Num15z0"/>
    <w:rPr>
      <w:rFonts w:cs="Times New Roman"/>
      <w:color w:val="000000"/>
      <w:sz w:val="23"/>
      <w:u w:val="none"/>
    </w:rPr>
  </w:style>
  <w:style w:type="character" w:customStyle="1" w:styleId="WW8Num15z1">
    <w:name w:val="WW8Num15z1"/>
    <w:rPr>
      <w:rFonts w:cs="Times New Roman"/>
    </w:rPr>
  </w:style>
  <w:style w:type="character" w:customStyle="1" w:styleId="WW8Num15z2">
    <w:name w:val="WW8Num15z2"/>
    <w:rPr>
      <w:rFonts w:ascii="Times New Roman" w:hAnsi="Times New Roman" w:cs="Times New Roman"/>
      <w:color w:val="000000"/>
      <w:sz w:val="23"/>
      <w:szCs w:val="24"/>
      <w:u w:val="none"/>
      <w:lang w:eastAsia="ja-JP"/>
    </w:rPr>
  </w:style>
  <w:style w:type="character" w:customStyle="1" w:styleId="WW8Num16z0">
    <w:name w:val="WW8Num16z0"/>
    <w:rPr>
      <w:rFonts w:ascii="Symbol" w:hAnsi="Symbol" w:cs="Symbol"/>
      <w:sz w:val="24"/>
      <w:szCs w:val="24"/>
    </w:rPr>
  </w:style>
  <w:style w:type="character" w:customStyle="1" w:styleId="WW8Num17z0">
    <w:name w:val="WW8Num17z0"/>
    <w:rPr>
      <w:rFonts w:ascii="Times New Roman" w:hAnsi="Times New Roman" w:cs="Times New Roman"/>
    </w:rPr>
  </w:style>
  <w:style w:type="character" w:customStyle="1" w:styleId="WW8Num18z0">
    <w:name w:val="WW8Num18z0"/>
    <w:rPr>
      <w:rFonts w:ascii="Symbol" w:hAnsi="Symbol" w:cs="Symbol"/>
      <w:sz w:val="24"/>
      <w:szCs w:val="24"/>
    </w:rPr>
  </w:style>
  <w:style w:type="character" w:customStyle="1" w:styleId="WW8Num19z0">
    <w:name w:val="WW8Num19z0"/>
    <w:rPr>
      <w:rFonts w:ascii="Symbol" w:hAnsi="Symbol" w:cs="Symbol"/>
      <w:sz w:val="24"/>
      <w:szCs w:val="24"/>
    </w:rPr>
  </w:style>
  <w:style w:type="character" w:customStyle="1" w:styleId="WW8Num20z0">
    <w:name w:val="WW8Num20z0"/>
    <w:rPr>
      <w:rFonts w:ascii="Times New Roman" w:hAnsi="Times New Roman" w:cs="Times New Roman"/>
      <w:sz w:val="24"/>
      <w:szCs w:val="24"/>
    </w:rPr>
  </w:style>
  <w:style w:type="character" w:customStyle="1" w:styleId="WW8Num20z1">
    <w:name w:val="WW8Num20z1"/>
    <w:rPr>
      <w:rFonts w:ascii="Courier New" w:hAnsi="Courier New" w:cs="Courier New"/>
      <w:sz w:val="24"/>
      <w:szCs w:val="24"/>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sz w:val="24"/>
      <w:szCs w:val="24"/>
    </w:rPr>
  </w:style>
  <w:style w:type="character" w:customStyle="1" w:styleId="WW8Num22z0">
    <w:name w:val="WW8Num22z0"/>
    <w:rPr>
      <w:rFonts w:ascii="Symbol" w:hAnsi="Symbol" w:cs="Symbol"/>
      <w:sz w:val="24"/>
      <w:szCs w:val="24"/>
      <w:highlight w:val="red"/>
    </w:rPr>
  </w:style>
  <w:style w:type="character" w:customStyle="1" w:styleId="WW8Num23z0">
    <w:name w:val="WW8Num23z0"/>
    <w:rPr>
      <w:rFonts w:ascii="Times New Roman" w:hAnsi="Times New Roman" w:cs="Times New Roman"/>
      <w:sz w:val="24"/>
      <w:szCs w:val="24"/>
      <w:shd w:val="clear" w:color="auto" w:fill="CCCCCC"/>
      <w:lang w:eastAsia="it-IT"/>
    </w:rPr>
  </w:style>
  <w:style w:type="character" w:customStyle="1" w:styleId="WW8Num24z0">
    <w:name w:val="WW8Num24z0"/>
    <w:rPr>
      <w:rFonts w:ascii="Times New Roman" w:hAnsi="Times New Roman" w:cs="Times New Roman"/>
      <w:sz w:val="24"/>
      <w:szCs w:val="24"/>
    </w:rPr>
  </w:style>
  <w:style w:type="character" w:customStyle="1" w:styleId="WW8Num25z0">
    <w:name w:val="WW8Num25z0"/>
    <w:rPr>
      <w:rFonts w:ascii="Symbol" w:eastAsia="MS Mincho" w:hAnsi="Symbol" w:cs="OpenSymbol"/>
      <w:sz w:val="24"/>
      <w:szCs w:val="24"/>
      <w:highlight w:val="yellow"/>
      <w:lang w:eastAsia="ja-JP"/>
    </w:rPr>
  </w:style>
  <w:style w:type="character" w:customStyle="1" w:styleId="WW8Num25z1">
    <w:name w:val="WW8Num25z1"/>
    <w:rPr>
      <w:rFonts w:ascii="OpenSymbol" w:hAnsi="OpenSymbol" w:cs="OpenSymbol"/>
    </w:rPr>
  </w:style>
  <w:style w:type="character" w:customStyle="1" w:styleId="WW8Num26z0">
    <w:name w:val="WW8Num26z0"/>
    <w:rPr>
      <w:rFonts w:ascii="Symbol" w:eastAsia="Calibri" w:hAnsi="Symbol" w:cs="OpenSymbol"/>
      <w:color w:val="000000"/>
      <w:sz w:val="24"/>
      <w:szCs w:val="24"/>
      <w:shd w:val="clear" w:color="auto" w:fill="FFFF66"/>
      <w:lang w:val="it-IT" w:eastAsia="it-IT" w:bidi="ar-SA"/>
    </w:rPr>
  </w:style>
  <w:style w:type="character" w:customStyle="1" w:styleId="WW8Num26z1">
    <w:name w:val="WW8Num26z1"/>
    <w:rPr>
      <w:rFonts w:ascii="OpenSymbol" w:hAnsi="OpenSymbol" w:cs="OpenSymbol"/>
    </w:rPr>
  </w:style>
  <w:style w:type="character" w:customStyle="1" w:styleId="WW8Num17z1">
    <w:name w:val="WW8Num17z1"/>
    <w:rPr>
      <w:rFonts w:cs="Times New Roman"/>
    </w:rPr>
  </w:style>
  <w:style w:type="character" w:customStyle="1" w:styleId="WW8Num17z2">
    <w:name w:val="WW8Num17z2"/>
    <w:rPr>
      <w:rFonts w:ascii="Times New Roman" w:hAnsi="Times New Roman" w:cs="Times New Roman"/>
      <w:color w:val="000000"/>
      <w:sz w:val="23"/>
      <w:szCs w:val="24"/>
      <w:u w:val="none"/>
      <w:lang w:eastAsia="ja-JP"/>
    </w:rPr>
  </w:style>
  <w:style w:type="character" w:customStyle="1" w:styleId="WW8Num23z1">
    <w:name w:val="WW8Num23z1"/>
    <w:rPr>
      <w:rFonts w:ascii="Courier New" w:hAnsi="Courier New" w:cs="Courier New"/>
      <w:sz w:val="24"/>
      <w:szCs w:val="24"/>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7z0">
    <w:name w:val="WW8Num27z0"/>
    <w:rPr>
      <w:rFonts w:ascii="Times New Roman" w:hAnsi="Times New Roman" w:cs="Times New Roman"/>
      <w:sz w:val="24"/>
      <w:szCs w:val="24"/>
    </w:rPr>
  </w:style>
  <w:style w:type="character" w:customStyle="1" w:styleId="WW8Num28z0">
    <w:name w:val="WW8Num28z0"/>
    <w:rPr>
      <w:rFonts w:ascii="Symbol" w:eastAsia="MS Mincho" w:hAnsi="Symbol" w:cs="OpenSymbol"/>
      <w:sz w:val="24"/>
      <w:szCs w:val="24"/>
      <w:highlight w:val="yellow"/>
      <w:lang w:eastAsia="ja-JP"/>
    </w:rPr>
  </w:style>
  <w:style w:type="character" w:customStyle="1" w:styleId="WW8Num28z1">
    <w:name w:val="WW8Num28z1"/>
    <w:rPr>
      <w:rFonts w:ascii="OpenSymbol" w:hAnsi="OpenSymbol" w:cs="Open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2">
    <w:name w:val="WW8Num25z2"/>
    <w:rPr>
      <w:rFonts w:ascii="Wingdings" w:hAnsi="Wingdings" w:cs="Wingdings"/>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sz w:val="24"/>
      <w:szCs w:val="24"/>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Carpredefinitoparagrafo1">
    <w:name w:val="Car. predefinito paragrafo1"/>
  </w:style>
  <w:style w:type="character" w:customStyle="1" w:styleId="Titolo1Carattere">
    <w:name w:val="Titolo 1 Carattere"/>
    <w:rPr>
      <w:rFonts w:ascii="Cambria" w:hAnsi="Cambria" w:cs="Cambria"/>
      <w:color w:val="365F91"/>
      <w:sz w:val="32"/>
      <w:szCs w:val="32"/>
      <w:lang w:val="x-none"/>
    </w:rPr>
  </w:style>
  <w:style w:type="character" w:customStyle="1" w:styleId="Titolo2Carattere">
    <w:name w:val="Titolo 2 Carattere"/>
    <w:rPr>
      <w:rFonts w:ascii="Cambria" w:hAnsi="Cambria" w:cs="Times New Roman"/>
      <w:b/>
      <w:bCs/>
      <w:color w:val="4F81BD"/>
      <w:sz w:val="26"/>
      <w:szCs w:val="26"/>
    </w:rPr>
  </w:style>
  <w:style w:type="character" w:customStyle="1" w:styleId="Titolo3Carattere">
    <w:name w:val="Titolo 3 Carattere"/>
    <w:rPr>
      <w:rFonts w:ascii="Cambria" w:hAnsi="Cambria" w:cs="Times New Roman"/>
      <w:b/>
      <w:bCs/>
      <w:sz w:val="26"/>
      <w:szCs w:val="26"/>
    </w:rPr>
  </w:style>
  <w:style w:type="character" w:customStyle="1" w:styleId="Titolo4Carattere">
    <w:name w:val="Titolo 4 Carattere"/>
    <w:rPr>
      <w:rFonts w:ascii="Calibri" w:hAnsi="Calibri" w:cs="Times New Roman"/>
      <w:b/>
      <w:bCs/>
      <w:sz w:val="28"/>
      <w:szCs w:val="28"/>
    </w:rPr>
  </w:style>
  <w:style w:type="character" w:customStyle="1" w:styleId="Titolo5Carattere">
    <w:name w:val="Titolo 5 Carattere"/>
    <w:rPr>
      <w:rFonts w:ascii="Calibri" w:hAnsi="Calibri" w:cs="Times New Roman"/>
      <w:b/>
      <w:bCs/>
      <w:i/>
      <w:iCs/>
      <w:sz w:val="26"/>
      <w:szCs w:val="26"/>
    </w:rPr>
  </w:style>
  <w:style w:type="character" w:styleId="Collegamentoipertestuale">
    <w:name w:val="Hyperlink"/>
    <w:uiPriority w:val="99"/>
    <w:rPr>
      <w:rFonts w:cs="Times New Roman"/>
      <w:color w:val="0000FF"/>
      <w:u w:val="single"/>
    </w:rPr>
  </w:style>
  <w:style w:type="character" w:customStyle="1" w:styleId="apple-converted-space">
    <w:name w:val="apple-converted-space"/>
    <w:rPr>
      <w:rFonts w:cs="Times New Roman"/>
    </w:rPr>
  </w:style>
  <w:style w:type="character" w:customStyle="1" w:styleId="CorpotestoCarattere">
    <w:name w:val="Corpo testo Carattere"/>
    <w:rPr>
      <w:rFonts w:cs="Times New Roman"/>
    </w:rPr>
  </w:style>
  <w:style w:type="character" w:customStyle="1" w:styleId="Caratterinotaapidipagina">
    <w:name w:val="Caratteri nota a piè di pagina"/>
    <w:rPr>
      <w:rFonts w:cs="Times New Roman"/>
      <w:vertAlign w:val="superscript"/>
    </w:rPr>
  </w:style>
  <w:style w:type="character" w:customStyle="1" w:styleId="FootnoteTextChar">
    <w:name w:val="Footnote Text Char"/>
    <w:rPr>
      <w:rFonts w:cs="Times New Roman"/>
      <w:sz w:val="20"/>
    </w:rPr>
  </w:style>
  <w:style w:type="character" w:customStyle="1" w:styleId="TestonotaapidipaginaCarattere">
    <w:name w:val="Testo nota a piè di pagina Carattere"/>
    <w:aliases w:val="Carattere Carattere"/>
    <w:rPr>
      <w:rFonts w:ascii="Calibri" w:eastAsia="MS Mincho" w:hAnsi="Calibri" w:cs="Calibri"/>
      <w:lang w:val="it-IT"/>
    </w:rPr>
  </w:style>
  <w:style w:type="character" w:customStyle="1" w:styleId="TestofumettoCarattere">
    <w:name w:val="Testo fumetto Carattere"/>
    <w:rPr>
      <w:rFonts w:ascii="Times New Roman" w:hAnsi="Times New Roman" w:cs="Times New Roman"/>
      <w:sz w:val="2"/>
    </w:rPr>
  </w:style>
  <w:style w:type="character" w:customStyle="1" w:styleId="IntestazioneCarattere">
    <w:name w:val="Intestazione Carattere"/>
    <w:rPr>
      <w:rFonts w:cs="Times New Roman"/>
    </w:rPr>
  </w:style>
  <w:style w:type="character" w:customStyle="1" w:styleId="PidipaginaCarattere">
    <w:name w:val="Piè di pagina Carattere"/>
    <w:uiPriority w:val="99"/>
    <w:rPr>
      <w:rFonts w:cs="Times New Roman"/>
    </w:rPr>
  </w:style>
  <w:style w:type="character" w:styleId="Numeropagina">
    <w:name w:val="page number"/>
    <w:rPr>
      <w:rFonts w:cs="Times New Roman"/>
    </w:rPr>
  </w:style>
  <w:style w:type="character" w:customStyle="1" w:styleId="Caratteredellanota">
    <w:name w:val="Carattere della nota"/>
    <w:rPr>
      <w:rFonts w:cs="Times New Roman"/>
      <w:vertAlign w:val="superscript"/>
    </w:rPr>
  </w:style>
  <w:style w:type="character" w:customStyle="1" w:styleId="TitoloCarattere">
    <w:name w:val="Titolo Carattere"/>
    <w:rPr>
      <w:rFonts w:ascii="Cambria" w:hAnsi="Cambria" w:cs="Times New Roman"/>
      <w:b/>
      <w:bCs/>
      <w:kern w:val="2"/>
      <w:sz w:val="32"/>
      <w:szCs w:val="32"/>
    </w:rPr>
  </w:style>
  <w:style w:type="character" w:styleId="Enfasicorsivo">
    <w:name w:val="Emphasis"/>
    <w:uiPriority w:val="20"/>
    <w:qFormat/>
    <w:rPr>
      <w:i/>
      <w:iCs/>
    </w:rPr>
  </w:style>
  <w:style w:type="character" w:styleId="Enfasigrassetto">
    <w:name w:val="Strong"/>
    <w:qFormat/>
    <w:rPr>
      <w:b/>
      <w:bCs/>
    </w:rPr>
  </w:style>
  <w:style w:type="character" w:customStyle="1" w:styleId="ox-7255a546ef-650463111-26062018">
    <w:name w:val="ox-7255a546ef-650463111-26062018"/>
    <w:basedOn w:val="Carpredefinitoparagrafo1"/>
  </w:style>
  <w:style w:type="character" w:styleId="Menzionenonrisolta">
    <w:name w:val="Unresolved Mention"/>
    <w:uiPriority w:val="99"/>
    <w:rPr>
      <w:color w:val="605E5C"/>
      <w:highlight w:val="lightGray"/>
    </w:rPr>
  </w:style>
  <w:style w:type="character" w:customStyle="1" w:styleId="Rimandocommento1">
    <w:name w:val="Rimando commento1"/>
    <w:rPr>
      <w:sz w:val="16"/>
      <w:szCs w:val="16"/>
    </w:rPr>
  </w:style>
  <w:style w:type="character" w:customStyle="1" w:styleId="TestocommentoCarattere">
    <w:name w:val="Testo commento Carattere"/>
    <w:link w:val="Testocommento"/>
    <w:uiPriority w:val="99"/>
  </w:style>
  <w:style w:type="character" w:customStyle="1" w:styleId="SoggettocommentoCarattere">
    <w:name w:val="Soggetto commento Carattere"/>
    <w:rPr>
      <w:b/>
      <w:bCs/>
    </w:rPr>
  </w:style>
  <w:style w:type="character" w:styleId="Rimandonotaapidipagina">
    <w:name w:val="footnote reference"/>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Saltoaindice">
    <w:name w:val="Salto a indice"/>
  </w:style>
  <w:style w:type="character" w:customStyle="1" w:styleId="Punti">
    <w:name w:val="Punti"/>
    <w:rPr>
      <w:rFonts w:ascii="OpenSymbol" w:eastAsia="OpenSymbol" w:hAnsi="OpenSymbol" w:cs="OpenSymbol"/>
    </w:rPr>
  </w:style>
  <w:style w:type="paragraph" w:customStyle="1" w:styleId="Titolo10">
    <w:name w:val="Titolo1"/>
    <w:basedOn w:val="Normale"/>
    <w:next w:val="Corpotesto"/>
    <w:pPr>
      <w:spacing w:before="240" w:after="60"/>
      <w:jc w:val="center"/>
    </w:pPr>
    <w:rPr>
      <w:rFonts w:ascii="Cambria" w:hAnsi="Cambria" w:cs="Cambria"/>
      <w:b/>
      <w:bCs/>
      <w:kern w:val="2"/>
      <w:sz w:val="32"/>
      <w:szCs w:val="32"/>
      <w:lang w:val="x-none"/>
    </w:rPr>
  </w:style>
  <w:style w:type="paragraph" w:styleId="Corpotesto">
    <w:name w:val="Body Text"/>
    <w:basedOn w:val="Normale"/>
    <w:pPr>
      <w:spacing w:after="0" w:line="360" w:lineRule="auto"/>
      <w:jc w:val="both"/>
    </w:pPr>
    <w:rPr>
      <w:sz w:val="20"/>
      <w:szCs w:val="20"/>
      <w:lang w:val="x-none"/>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NormaleWeb">
    <w:name w:val="Normal (Web)"/>
    <w:basedOn w:val="Normale"/>
    <w:uiPriority w:val="99"/>
    <w:pPr>
      <w:spacing w:before="280" w:after="280" w:line="240" w:lineRule="auto"/>
    </w:pPr>
    <w:rPr>
      <w:rFonts w:ascii="Times New Roman" w:eastAsia="Times New Roman" w:hAnsi="Times New Roman"/>
      <w:sz w:val="24"/>
      <w:szCs w:val="24"/>
    </w:rPr>
  </w:style>
  <w:style w:type="paragraph" w:styleId="Paragrafoelenco">
    <w:name w:val="List Paragraph"/>
    <w:basedOn w:val="Normale"/>
    <w:uiPriority w:val="34"/>
    <w:qFormat/>
    <w:pPr>
      <w:spacing w:after="160" w:line="252" w:lineRule="auto"/>
      <w:ind w:left="720"/>
      <w:contextualSpacing/>
    </w:pPr>
  </w:style>
  <w:style w:type="paragraph" w:customStyle="1" w:styleId="Default">
    <w:name w:val="Default"/>
    <w:pPr>
      <w:suppressAutoHyphens/>
      <w:autoSpaceDE w:val="0"/>
    </w:pPr>
    <w:rPr>
      <w:rFonts w:ascii="Garamond" w:eastAsia="Calibri" w:hAnsi="Garamond" w:cs="Garamond"/>
      <w:color w:val="000000"/>
      <w:sz w:val="24"/>
      <w:szCs w:val="24"/>
      <w:lang w:eastAsia="zh-CN"/>
    </w:rPr>
  </w:style>
  <w:style w:type="paragraph" w:styleId="Testonotaapidipagina">
    <w:name w:val="footnote text"/>
    <w:aliases w:val="Carattere"/>
    <w:basedOn w:val="Normale"/>
    <w:pPr>
      <w:spacing w:after="0" w:line="240" w:lineRule="auto"/>
    </w:pPr>
    <w:rPr>
      <w:rFonts w:eastAsia="MS Mincho"/>
      <w:sz w:val="20"/>
      <w:szCs w:val="20"/>
    </w:rPr>
  </w:style>
  <w:style w:type="paragraph" w:customStyle="1" w:styleId="Paragrafoelenco1">
    <w:name w:val="Paragrafo elenco1"/>
    <w:basedOn w:val="Normale"/>
    <w:pPr>
      <w:ind w:left="720"/>
      <w:contextualSpacing/>
      <w:jc w:val="both"/>
    </w:pPr>
  </w:style>
  <w:style w:type="paragraph" w:styleId="Testofumetto">
    <w:name w:val="Balloon Text"/>
    <w:basedOn w:val="Normale"/>
    <w:rPr>
      <w:rFonts w:ascii="Times New Roman" w:hAnsi="Times New Roman"/>
      <w:sz w:val="2"/>
      <w:szCs w:val="20"/>
      <w:lang w:val="x-none"/>
    </w:rPr>
  </w:style>
  <w:style w:type="paragraph" w:styleId="Sommario1">
    <w:name w:val="toc 1"/>
    <w:basedOn w:val="Normale"/>
    <w:next w:val="Normale"/>
    <w:uiPriority w:val="39"/>
    <w:rsid w:val="00341812"/>
    <w:pPr>
      <w:spacing w:after="0" w:line="240" w:lineRule="auto"/>
      <w:jc w:val="both"/>
    </w:pPr>
    <w:rPr>
      <w:rFonts w:ascii="Verdana" w:hAnsi="Verdana"/>
      <w:b/>
    </w:rPr>
  </w:style>
  <w:style w:type="paragraph" w:styleId="Sommario2">
    <w:name w:val="toc 2"/>
    <w:basedOn w:val="Normale"/>
    <w:next w:val="Normale"/>
    <w:uiPriority w:val="39"/>
    <w:rsid w:val="00341812"/>
    <w:pPr>
      <w:tabs>
        <w:tab w:val="right" w:leader="dot" w:pos="9629"/>
      </w:tabs>
      <w:spacing w:after="0" w:line="240" w:lineRule="auto"/>
      <w:ind w:left="221"/>
      <w:jc w:val="both"/>
    </w:pPr>
    <w:rPr>
      <w:rFonts w:ascii="Verdana" w:hAnsi="Verdana"/>
      <w:lang w:val="x-none" w:eastAsia="x-none"/>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rPr>
      <w:sz w:val="20"/>
      <w:szCs w:val="20"/>
      <w:lang w:val="x-none"/>
    </w:rPr>
  </w:style>
  <w:style w:type="paragraph" w:styleId="Pidipagina">
    <w:name w:val="footer"/>
    <w:basedOn w:val="Normale"/>
    <w:uiPriority w:val="99"/>
    <w:rPr>
      <w:sz w:val="20"/>
      <w:szCs w:val="20"/>
      <w:lang w:val="x-none"/>
    </w:rPr>
  </w:style>
  <w:style w:type="paragraph" w:styleId="Revisione">
    <w:name w:val="Revision"/>
    <w:pPr>
      <w:suppressAutoHyphens/>
    </w:pPr>
    <w:rPr>
      <w:rFonts w:ascii="Calibri" w:eastAsia="Calibri" w:hAnsi="Calibri"/>
      <w:sz w:val="22"/>
      <w:szCs w:val="22"/>
      <w:lang w:eastAsia="zh-CN"/>
    </w:rPr>
  </w:style>
  <w:style w:type="paragraph" w:customStyle="1" w:styleId="Paragrafoelenco2">
    <w:name w:val="Paragrafo elenco2"/>
    <w:basedOn w:val="Normale"/>
    <w:pPr>
      <w:spacing w:before="120" w:after="0" w:line="240" w:lineRule="auto"/>
      <w:ind w:left="720"/>
      <w:contextualSpacing/>
      <w:jc w:val="both"/>
    </w:pPr>
    <w:rPr>
      <w:rFonts w:ascii="Verdana" w:eastAsia="Times New Roman" w:hAnsi="Verdana" w:cs="Verdana"/>
    </w:rPr>
  </w:style>
  <w:style w:type="paragraph" w:styleId="Sommario3">
    <w:name w:val="toc 3"/>
    <w:basedOn w:val="Normale"/>
    <w:next w:val="Normale"/>
    <w:uiPriority w:val="39"/>
    <w:rsid w:val="00341812"/>
    <w:pPr>
      <w:spacing w:after="0" w:line="240" w:lineRule="auto"/>
      <w:ind w:left="440"/>
      <w:jc w:val="both"/>
    </w:pPr>
    <w:rPr>
      <w:rFonts w:ascii="Verdana" w:hAnsi="Verdana"/>
      <w:i/>
      <w:sz w:val="20"/>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Nessunaspaziatura">
    <w:name w:val="No Spacing"/>
    <w:qFormat/>
    <w:pPr>
      <w:suppressAutoHyphens/>
    </w:pPr>
    <w:rPr>
      <w:rFonts w:ascii="Calibri" w:hAnsi="Calibri" w:cs="Calibri"/>
      <w:sz w:val="22"/>
      <w:szCs w:val="22"/>
      <w:lang w:eastAsia="zh-CN"/>
    </w:rPr>
  </w:style>
  <w:style w:type="paragraph" w:customStyle="1" w:styleId="StilenonlatinoArial12ptCentratoprima6ptdopo6pt">
    <w:name w:val="Stile (non latino) Arial 12 pt Centrato prima 6 pt  dopo 6 pt"/>
    <w:basedOn w:val="Normale"/>
    <w:pPr>
      <w:spacing w:before="120" w:after="120" w:line="240" w:lineRule="auto"/>
      <w:jc w:val="center"/>
    </w:pPr>
    <w:rPr>
      <w:rFonts w:cs="Arial"/>
      <w:sz w:val="24"/>
      <w:szCs w:val="24"/>
    </w:rPr>
  </w:style>
  <w:style w:type="character" w:styleId="Rimandocommento">
    <w:name w:val="annotation reference"/>
    <w:uiPriority w:val="99"/>
    <w:unhideWhenUsed/>
    <w:rsid w:val="00DC28D5"/>
    <w:rPr>
      <w:sz w:val="16"/>
      <w:szCs w:val="16"/>
    </w:rPr>
  </w:style>
  <w:style w:type="paragraph" w:styleId="Testocommento">
    <w:name w:val="annotation text"/>
    <w:basedOn w:val="Normale"/>
    <w:link w:val="TestocommentoCarattere"/>
    <w:uiPriority w:val="99"/>
    <w:unhideWhenUsed/>
    <w:rsid w:val="00DC28D5"/>
    <w:pPr>
      <w:suppressAutoHyphens w:val="0"/>
      <w:spacing w:after="160" w:line="240" w:lineRule="auto"/>
    </w:pPr>
    <w:rPr>
      <w:rFonts w:ascii="Times New Roman" w:eastAsia="Times New Roman" w:hAnsi="Times New Roman"/>
      <w:sz w:val="20"/>
      <w:szCs w:val="20"/>
      <w:lang w:eastAsia="it-IT"/>
    </w:rPr>
  </w:style>
  <w:style w:type="character" w:customStyle="1" w:styleId="TestocommentoCarattere1">
    <w:name w:val="Testo commento Carattere1"/>
    <w:uiPriority w:val="99"/>
    <w:semiHidden/>
    <w:rsid w:val="00DC28D5"/>
    <w:rPr>
      <w:rFonts w:ascii="Calibri" w:eastAsia="Calibri" w:hAnsi="Calibri"/>
      <w:lang w:eastAsia="zh-CN"/>
    </w:rPr>
  </w:style>
  <w:style w:type="table" w:styleId="Grigliatabella">
    <w:name w:val="Table Grid"/>
    <w:basedOn w:val="Tabellanormale"/>
    <w:uiPriority w:val="39"/>
    <w:rsid w:val="00DC28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a">
    <w:name w:val="titolo a"/>
    <w:basedOn w:val="Normale"/>
    <w:qFormat/>
    <w:rsid w:val="00E414DD"/>
    <w:pPr>
      <w:keepNext/>
      <w:keepLines/>
      <w:suppressAutoHyphens w:val="0"/>
      <w:spacing w:before="120" w:after="60" w:line="240" w:lineRule="auto"/>
      <w:jc w:val="both"/>
      <w:outlineLvl w:val="1"/>
    </w:pPr>
    <w:rPr>
      <w:rFonts w:ascii="Arial" w:eastAsia="Times New Roman" w:hAnsi="Arial"/>
      <w:color w:val="C00000"/>
      <w:szCs w:val="24"/>
      <w:lang w:eastAsia="it-IT"/>
    </w:rPr>
  </w:style>
  <w:style w:type="paragraph" w:customStyle="1" w:styleId="Textbody">
    <w:name w:val="Text body"/>
    <w:basedOn w:val="Normale"/>
    <w:rsid w:val="00815DCD"/>
    <w:pPr>
      <w:widowControl w:val="0"/>
      <w:autoSpaceDN w:val="0"/>
      <w:spacing w:after="120" w:line="283" w:lineRule="atLeast"/>
      <w:textAlignment w:val="baseline"/>
    </w:pPr>
    <w:rPr>
      <w:rFonts w:ascii="Arial" w:eastAsia="SimSun" w:hAnsi="Arial" w:cs="Mangal"/>
      <w:kern w:val="3"/>
      <w:sz w:val="20"/>
      <w:szCs w:val="24"/>
      <w:lang w:bidi="hi-IN"/>
    </w:rPr>
  </w:style>
  <w:style w:type="character" w:customStyle="1" w:styleId="Hyperlink0">
    <w:name w:val="Hyperlink.0"/>
    <w:rsid w:val="00815DCD"/>
    <w:rPr>
      <w:color w:val="0563C1"/>
      <w:sz w:val="21"/>
      <w:szCs w:val="21"/>
      <w:u w:val="single" w:color="0563C1"/>
    </w:rPr>
  </w:style>
  <w:style w:type="character" w:customStyle="1" w:styleId="elencon">
    <w:name w:val="elenco_n"/>
    <w:basedOn w:val="Carpredefinitoparagrafo"/>
    <w:rsid w:val="00815DCD"/>
  </w:style>
  <w:style w:type="paragraph" w:customStyle="1" w:styleId="paragraph">
    <w:name w:val="paragraph"/>
    <w:basedOn w:val="Normale"/>
    <w:rsid w:val="00815DCD"/>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815DCD"/>
  </w:style>
  <w:style w:type="paragraph" w:customStyle="1" w:styleId="xxmsonormal">
    <w:name w:val="xxmsonormal"/>
    <w:basedOn w:val="Normale"/>
    <w:rsid w:val="00815DCD"/>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base">
    <w:name w:val="[Paragrafo base]"/>
    <w:basedOn w:val="Normale"/>
    <w:rsid w:val="00815DCD"/>
    <w:pPr>
      <w:widowControl w:val="0"/>
      <w:autoSpaceDE w:val="0"/>
      <w:spacing w:after="0" w:line="288" w:lineRule="auto"/>
      <w:textAlignment w:val="center"/>
    </w:pPr>
    <w:rPr>
      <w:rFonts w:ascii="Times-Roman" w:eastAsia="Cambria" w:hAnsi="Times-Roman" w:cs="Times-Roman"/>
      <w:color w:val="000000"/>
      <w:sz w:val="24"/>
      <w:szCs w:val="24"/>
    </w:rPr>
  </w:style>
  <w:style w:type="character" w:styleId="Numeroriga">
    <w:name w:val="line number"/>
    <w:basedOn w:val="Carpredefinitoparagrafo"/>
    <w:uiPriority w:val="99"/>
    <w:semiHidden/>
    <w:unhideWhenUsed/>
    <w:rsid w:val="00815DCD"/>
  </w:style>
  <w:style w:type="character" w:customStyle="1" w:styleId="hgkelc">
    <w:name w:val="hgkelc"/>
    <w:basedOn w:val="Carpredefinitoparagrafo"/>
    <w:rsid w:val="00222B1E"/>
  </w:style>
  <w:style w:type="character" w:styleId="Collegamentovisitato">
    <w:name w:val="FollowedHyperlink"/>
    <w:uiPriority w:val="99"/>
    <w:semiHidden/>
    <w:unhideWhenUsed/>
    <w:rsid w:val="00A722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744">
      <w:bodyDiv w:val="1"/>
      <w:marLeft w:val="0"/>
      <w:marRight w:val="0"/>
      <w:marTop w:val="0"/>
      <w:marBottom w:val="0"/>
      <w:divBdr>
        <w:top w:val="none" w:sz="0" w:space="0" w:color="auto"/>
        <w:left w:val="none" w:sz="0" w:space="0" w:color="auto"/>
        <w:bottom w:val="none" w:sz="0" w:space="0" w:color="auto"/>
        <w:right w:val="none" w:sz="0" w:space="0" w:color="auto"/>
      </w:divBdr>
    </w:div>
    <w:div w:id="36707936">
      <w:bodyDiv w:val="1"/>
      <w:marLeft w:val="0"/>
      <w:marRight w:val="0"/>
      <w:marTop w:val="0"/>
      <w:marBottom w:val="0"/>
      <w:divBdr>
        <w:top w:val="none" w:sz="0" w:space="0" w:color="auto"/>
        <w:left w:val="none" w:sz="0" w:space="0" w:color="auto"/>
        <w:bottom w:val="none" w:sz="0" w:space="0" w:color="auto"/>
        <w:right w:val="none" w:sz="0" w:space="0" w:color="auto"/>
      </w:divBdr>
    </w:div>
    <w:div w:id="123890111">
      <w:bodyDiv w:val="1"/>
      <w:marLeft w:val="0"/>
      <w:marRight w:val="0"/>
      <w:marTop w:val="0"/>
      <w:marBottom w:val="0"/>
      <w:divBdr>
        <w:top w:val="none" w:sz="0" w:space="0" w:color="auto"/>
        <w:left w:val="none" w:sz="0" w:space="0" w:color="auto"/>
        <w:bottom w:val="none" w:sz="0" w:space="0" w:color="auto"/>
        <w:right w:val="none" w:sz="0" w:space="0" w:color="auto"/>
      </w:divBdr>
    </w:div>
    <w:div w:id="201140729">
      <w:bodyDiv w:val="1"/>
      <w:marLeft w:val="0"/>
      <w:marRight w:val="0"/>
      <w:marTop w:val="0"/>
      <w:marBottom w:val="0"/>
      <w:divBdr>
        <w:top w:val="none" w:sz="0" w:space="0" w:color="auto"/>
        <w:left w:val="none" w:sz="0" w:space="0" w:color="auto"/>
        <w:bottom w:val="none" w:sz="0" w:space="0" w:color="auto"/>
        <w:right w:val="none" w:sz="0" w:space="0" w:color="auto"/>
      </w:divBdr>
    </w:div>
    <w:div w:id="366568190">
      <w:bodyDiv w:val="1"/>
      <w:marLeft w:val="0"/>
      <w:marRight w:val="0"/>
      <w:marTop w:val="0"/>
      <w:marBottom w:val="0"/>
      <w:divBdr>
        <w:top w:val="none" w:sz="0" w:space="0" w:color="auto"/>
        <w:left w:val="none" w:sz="0" w:space="0" w:color="auto"/>
        <w:bottom w:val="none" w:sz="0" w:space="0" w:color="auto"/>
        <w:right w:val="none" w:sz="0" w:space="0" w:color="auto"/>
      </w:divBdr>
    </w:div>
    <w:div w:id="583956206">
      <w:bodyDiv w:val="1"/>
      <w:marLeft w:val="0"/>
      <w:marRight w:val="0"/>
      <w:marTop w:val="0"/>
      <w:marBottom w:val="0"/>
      <w:divBdr>
        <w:top w:val="none" w:sz="0" w:space="0" w:color="auto"/>
        <w:left w:val="none" w:sz="0" w:space="0" w:color="auto"/>
        <w:bottom w:val="none" w:sz="0" w:space="0" w:color="auto"/>
        <w:right w:val="none" w:sz="0" w:space="0" w:color="auto"/>
      </w:divBdr>
    </w:div>
    <w:div w:id="649478639">
      <w:bodyDiv w:val="1"/>
      <w:marLeft w:val="0"/>
      <w:marRight w:val="0"/>
      <w:marTop w:val="0"/>
      <w:marBottom w:val="0"/>
      <w:divBdr>
        <w:top w:val="none" w:sz="0" w:space="0" w:color="auto"/>
        <w:left w:val="none" w:sz="0" w:space="0" w:color="auto"/>
        <w:bottom w:val="none" w:sz="0" w:space="0" w:color="auto"/>
        <w:right w:val="none" w:sz="0" w:space="0" w:color="auto"/>
      </w:divBdr>
    </w:div>
    <w:div w:id="718476509">
      <w:bodyDiv w:val="1"/>
      <w:marLeft w:val="0"/>
      <w:marRight w:val="0"/>
      <w:marTop w:val="0"/>
      <w:marBottom w:val="0"/>
      <w:divBdr>
        <w:top w:val="none" w:sz="0" w:space="0" w:color="auto"/>
        <w:left w:val="none" w:sz="0" w:space="0" w:color="auto"/>
        <w:bottom w:val="none" w:sz="0" w:space="0" w:color="auto"/>
        <w:right w:val="none" w:sz="0" w:space="0" w:color="auto"/>
      </w:divBdr>
    </w:div>
    <w:div w:id="764111871">
      <w:bodyDiv w:val="1"/>
      <w:marLeft w:val="0"/>
      <w:marRight w:val="0"/>
      <w:marTop w:val="0"/>
      <w:marBottom w:val="0"/>
      <w:divBdr>
        <w:top w:val="none" w:sz="0" w:space="0" w:color="auto"/>
        <w:left w:val="none" w:sz="0" w:space="0" w:color="auto"/>
        <w:bottom w:val="none" w:sz="0" w:space="0" w:color="auto"/>
        <w:right w:val="none" w:sz="0" w:space="0" w:color="auto"/>
      </w:divBdr>
    </w:div>
    <w:div w:id="884679179">
      <w:bodyDiv w:val="1"/>
      <w:marLeft w:val="0"/>
      <w:marRight w:val="0"/>
      <w:marTop w:val="0"/>
      <w:marBottom w:val="0"/>
      <w:divBdr>
        <w:top w:val="none" w:sz="0" w:space="0" w:color="auto"/>
        <w:left w:val="none" w:sz="0" w:space="0" w:color="auto"/>
        <w:bottom w:val="none" w:sz="0" w:space="0" w:color="auto"/>
        <w:right w:val="none" w:sz="0" w:space="0" w:color="auto"/>
      </w:divBdr>
    </w:div>
    <w:div w:id="933170951">
      <w:bodyDiv w:val="1"/>
      <w:marLeft w:val="0"/>
      <w:marRight w:val="0"/>
      <w:marTop w:val="0"/>
      <w:marBottom w:val="0"/>
      <w:divBdr>
        <w:top w:val="none" w:sz="0" w:space="0" w:color="auto"/>
        <w:left w:val="none" w:sz="0" w:space="0" w:color="auto"/>
        <w:bottom w:val="none" w:sz="0" w:space="0" w:color="auto"/>
        <w:right w:val="none" w:sz="0" w:space="0" w:color="auto"/>
      </w:divBdr>
    </w:div>
    <w:div w:id="980693580">
      <w:bodyDiv w:val="1"/>
      <w:marLeft w:val="0"/>
      <w:marRight w:val="0"/>
      <w:marTop w:val="0"/>
      <w:marBottom w:val="0"/>
      <w:divBdr>
        <w:top w:val="none" w:sz="0" w:space="0" w:color="auto"/>
        <w:left w:val="none" w:sz="0" w:space="0" w:color="auto"/>
        <w:bottom w:val="none" w:sz="0" w:space="0" w:color="auto"/>
        <w:right w:val="none" w:sz="0" w:space="0" w:color="auto"/>
      </w:divBdr>
    </w:div>
    <w:div w:id="1130316687">
      <w:bodyDiv w:val="1"/>
      <w:marLeft w:val="0"/>
      <w:marRight w:val="0"/>
      <w:marTop w:val="0"/>
      <w:marBottom w:val="0"/>
      <w:divBdr>
        <w:top w:val="none" w:sz="0" w:space="0" w:color="auto"/>
        <w:left w:val="none" w:sz="0" w:space="0" w:color="auto"/>
        <w:bottom w:val="none" w:sz="0" w:space="0" w:color="auto"/>
        <w:right w:val="none" w:sz="0" w:space="0" w:color="auto"/>
      </w:divBdr>
    </w:div>
    <w:div w:id="1130515355">
      <w:bodyDiv w:val="1"/>
      <w:marLeft w:val="0"/>
      <w:marRight w:val="0"/>
      <w:marTop w:val="0"/>
      <w:marBottom w:val="0"/>
      <w:divBdr>
        <w:top w:val="none" w:sz="0" w:space="0" w:color="auto"/>
        <w:left w:val="none" w:sz="0" w:space="0" w:color="auto"/>
        <w:bottom w:val="none" w:sz="0" w:space="0" w:color="auto"/>
        <w:right w:val="none" w:sz="0" w:space="0" w:color="auto"/>
      </w:divBdr>
    </w:div>
    <w:div w:id="1277952966">
      <w:bodyDiv w:val="1"/>
      <w:marLeft w:val="0"/>
      <w:marRight w:val="0"/>
      <w:marTop w:val="0"/>
      <w:marBottom w:val="0"/>
      <w:divBdr>
        <w:top w:val="none" w:sz="0" w:space="0" w:color="auto"/>
        <w:left w:val="none" w:sz="0" w:space="0" w:color="auto"/>
        <w:bottom w:val="none" w:sz="0" w:space="0" w:color="auto"/>
        <w:right w:val="none" w:sz="0" w:space="0" w:color="auto"/>
      </w:divBdr>
    </w:div>
    <w:div w:id="1505126618">
      <w:bodyDiv w:val="1"/>
      <w:marLeft w:val="0"/>
      <w:marRight w:val="0"/>
      <w:marTop w:val="0"/>
      <w:marBottom w:val="0"/>
      <w:divBdr>
        <w:top w:val="none" w:sz="0" w:space="0" w:color="auto"/>
        <w:left w:val="none" w:sz="0" w:space="0" w:color="auto"/>
        <w:bottom w:val="none" w:sz="0" w:space="0" w:color="auto"/>
        <w:right w:val="none" w:sz="0" w:space="0" w:color="auto"/>
      </w:divBdr>
    </w:div>
    <w:div w:id="1712806926">
      <w:bodyDiv w:val="1"/>
      <w:marLeft w:val="0"/>
      <w:marRight w:val="0"/>
      <w:marTop w:val="0"/>
      <w:marBottom w:val="0"/>
      <w:divBdr>
        <w:top w:val="none" w:sz="0" w:space="0" w:color="auto"/>
        <w:left w:val="none" w:sz="0" w:space="0" w:color="auto"/>
        <w:bottom w:val="none" w:sz="0" w:space="0" w:color="auto"/>
        <w:right w:val="none" w:sz="0" w:space="0" w:color="auto"/>
      </w:divBdr>
    </w:div>
    <w:div w:id="1735354526">
      <w:bodyDiv w:val="1"/>
      <w:marLeft w:val="0"/>
      <w:marRight w:val="0"/>
      <w:marTop w:val="0"/>
      <w:marBottom w:val="0"/>
      <w:divBdr>
        <w:top w:val="none" w:sz="0" w:space="0" w:color="auto"/>
        <w:left w:val="none" w:sz="0" w:space="0" w:color="auto"/>
        <w:bottom w:val="none" w:sz="0" w:space="0" w:color="auto"/>
        <w:right w:val="none" w:sz="0" w:space="0" w:color="auto"/>
      </w:divBdr>
    </w:div>
    <w:div w:id="21075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5_0124.htm" TargetMode="External"/><Relationship Id="rId13" Type="http://schemas.openxmlformats.org/officeDocument/2006/relationships/hyperlink" Target="https://www.montecatone.com/wp-content/uploads/2024/12/DOC30-Atto-Aziendale-rev9-26-11-202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ecatone.com/societa-trasparente/altri-contenuti-prevenzione-della-corruzione/piano-triennale-per-la-prevenzione-della-corruzione-e-trasparen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nticorruzione.it/-/news.11.07.24.rotazione.incarichi.sanita" TargetMode="External"/><Relationship Id="rId1" Type="http://schemas.openxmlformats.org/officeDocument/2006/relationships/hyperlink" Target="https://www.montecatone.com/societa-trasparente/disposizioni-generali/atti-generali/modello-organizzativo-23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52A1-212D-4DFA-AF18-4AD22C08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12417</Words>
  <Characters>70781</Characters>
  <Application>Microsoft Office Word</Application>
  <DocSecurity>0</DocSecurity>
  <Lines>589</Lines>
  <Paragraphs>166</Paragraphs>
  <ScaleCrop>false</ScaleCrop>
  <HeadingPairs>
    <vt:vector size="2" baseType="variant">
      <vt:variant>
        <vt:lpstr>Titolo</vt:lpstr>
      </vt:variant>
      <vt:variant>
        <vt:i4>1</vt:i4>
      </vt:variant>
    </vt:vector>
  </HeadingPairs>
  <TitlesOfParts>
    <vt:vector size="1" baseType="lpstr">
      <vt:lpstr>1</vt:lpstr>
    </vt:vector>
  </TitlesOfParts>
  <Company>Olidata S.p.A.</Company>
  <LinksUpToDate>false</LinksUpToDate>
  <CharactersWithSpaces>83032</CharactersWithSpaces>
  <SharedDoc>false</SharedDoc>
  <HLinks>
    <vt:vector size="222" baseType="variant">
      <vt:variant>
        <vt:i4>3342450</vt:i4>
      </vt:variant>
      <vt:variant>
        <vt:i4>201</vt:i4>
      </vt:variant>
      <vt:variant>
        <vt:i4>0</vt:i4>
      </vt:variant>
      <vt:variant>
        <vt:i4>5</vt:i4>
      </vt:variant>
      <vt:variant>
        <vt:lpwstr>https://www.montecatone.com/wp-content/uploads/2024/12/DOC30-Atto-Aziendale-rev9-26-11-2024.pdf</vt:lpwstr>
      </vt:variant>
      <vt:variant>
        <vt:lpwstr/>
      </vt:variant>
      <vt:variant>
        <vt:i4>7143464</vt:i4>
      </vt:variant>
      <vt:variant>
        <vt:i4>198</vt:i4>
      </vt:variant>
      <vt:variant>
        <vt:i4>0</vt:i4>
      </vt:variant>
      <vt:variant>
        <vt:i4>5</vt:i4>
      </vt:variant>
      <vt:variant>
        <vt:lpwstr>https://www.montecatone.com/societa-trasparente/altri-contenuti-prevenzione-della-corruzione/piano-triennale-per-la-prevenzione-della-corruzione-e-trasparenza/</vt:lpwstr>
      </vt:variant>
      <vt:variant>
        <vt:lpwstr/>
      </vt:variant>
      <vt:variant>
        <vt:i4>1114151</vt:i4>
      </vt:variant>
      <vt:variant>
        <vt:i4>195</vt:i4>
      </vt:variant>
      <vt:variant>
        <vt:i4>0</vt:i4>
      </vt:variant>
      <vt:variant>
        <vt:i4>5</vt:i4>
      </vt:variant>
      <vt:variant>
        <vt:lpwstr>http://www.bosettiegatti.eu/info/norme/statali/2015_0124.htm</vt:lpwstr>
      </vt:variant>
      <vt:variant>
        <vt:lpwstr>18</vt:lpwstr>
      </vt:variant>
      <vt:variant>
        <vt:i4>1310776</vt:i4>
      </vt:variant>
      <vt:variant>
        <vt:i4>188</vt:i4>
      </vt:variant>
      <vt:variant>
        <vt:i4>0</vt:i4>
      </vt:variant>
      <vt:variant>
        <vt:i4>5</vt:i4>
      </vt:variant>
      <vt:variant>
        <vt:lpwstr/>
      </vt:variant>
      <vt:variant>
        <vt:lpwstr>_Toc218852781</vt:lpwstr>
      </vt:variant>
      <vt:variant>
        <vt:i4>1310776</vt:i4>
      </vt:variant>
      <vt:variant>
        <vt:i4>182</vt:i4>
      </vt:variant>
      <vt:variant>
        <vt:i4>0</vt:i4>
      </vt:variant>
      <vt:variant>
        <vt:i4>5</vt:i4>
      </vt:variant>
      <vt:variant>
        <vt:lpwstr/>
      </vt:variant>
      <vt:variant>
        <vt:lpwstr>_Toc218852780</vt:lpwstr>
      </vt:variant>
      <vt:variant>
        <vt:i4>1769528</vt:i4>
      </vt:variant>
      <vt:variant>
        <vt:i4>176</vt:i4>
      </vt:variant>
      <vt:variant>
        <vt:i4>0</vt:i4>
      </vt:variant>
      <vt:variant>
        <vt:i4>5</vt:i4>
      </vt:variant>
      <vt:variant>
        <vt:lpwstr/>
      </vt:variant>
      <vt:variant>
        <vt:lpwstr>_Toc218852779</vt:lpwstr>
      </vt:variant>
      <vt:variant>
        <vt:i4>1769528</vt:i4>
      </vt:variant>
      <vt:variant>
        <vt:i4>170</vt:i4>
      </vt:variant>
      <vt:variant>
        <vt:i4>0</vt:i4>
      </vt:variant>
      <vt:variant>
        <vt:i4>5</vt:i4>
      </vt:variant>
      <vt:variant>
        <vt:lpwstr/>
      </vt:variant>
      <vt:variant>
        <vt:lpwstr>_Toc218852778</vt:lpwstr>
      </vt:variant>
      <vt:variant>
        <vt:i4>1769528</vt:i4>
      </vt:variant>
      <vt:variant>
        <vt:i4>164</vt:i4>
      </vt:variant>
      <vt:variant>
        <vt:i4>0</vt:i4>
      </vt:variant>
      <vt:variant>
        <vt:i4>5</vt:i4>
      </vt:variant>
      <vt:variant>
        <vt:lpwstr/>
      </vt:variant>
      <vt:variant>
        <vt:lpwstr>_Toc218852777</vt:lpwstr>
      </vt:variant>
      <vt:variant>
        <vt:i4>1769528</vt:i4>
      </vt:variant>
      <vt:variant>
        <vt:i4>158</vt:i4>
      </vt:variant>
      <vt:variant>
        <vt:i4>0</vt:i4>
      </vt:variant>
      <vt:variant>
        <vt:i4>5</vt:i4>
      </vt:variant>
      <vt:variant>
        <vt:lpwstr/>
      </vt:variant>
      <vt:variant>
        <vt:lpwstr>_Toc218852776</vt:lpwstr>
      </vt:variant>
      <vt:variant>
        <vt:i4>1769528</vt:i4>
      </vt:variant>
      <vt:variant>
        <vt:i4>152</vt:i4>
      </vt:variant>
      <vt:variant>
        <vt:i4>0</vt:i4>
      </vt:variant>
      <vt:variant>
        <vt:i4>5</vt:i4>
      </vt:variant>
      <vt:variant>
        <vt:lpwstr/>
      </vt:variant>
      <vt:variant>
        <vt:lpwstr>_Toc218852775</vt:lpwstr>
      </vt:variant>
      <vt:variant>
        <vt:i4>1769528</vt:i4>
      </vt:variant>
      <vt:variant>
        <vt:i4>146</vt:i4>
      </vt:variant>
      <vt:variant>
        <vt:i4>0</vt:i4>
      </vt:variant>
      <vt:variant>
        <vt:i4>5</vt:i4>
      </vt:variant>
      <vt:variant>
        <vt:lpwstr/>
      </vt:variant>
      <vt:variant>
        <vt:lpwstr>_Toc218852774</vt:lpwstr>
      </vt:variant>
      <vt:variant>
        <vt:i4>1769528</vt:i4>
      </vt:variant>
      <vt:variant>
        <vt:i4>140</vt:i4>
      </vt:variant>
      <vt:variant>
        <vt:i4>0</vt:i4>
      </vt:variant>
      <vt:variant>
        <vt:i4>5</vt:i4>
      </vt:variant>
      <vt:variant>
        <vt:lpwstr/>
      </vt:variant>
      <vt:variant>
        <vt:lpwstr>_Toc218852773</vt:lpwstr>
      </vt:variant>
      <vt:variant>
        <vt:i4>1769528</vt:i4>
      </vt:variant>
      <vt:variant>
        <vt:i4>134</vt:i4>
      </vt:variant>
      <vt:variant>
        <vt:i4>0</vt:i4>
      </vt:variant>
      <vt:variant>
        <vt:i4>5</vt:i4>
      </vt:variant>
      <vt:variant>
        <vt:lpwstr/>
      </vt:variant>
      <vt:variant>
        <vt:lpwstr>_Toc218852772</vt:lpwstr>
      </vt:variant>
      <vt:variant>
        <vt:i4>1769528</vt:i4>
      </vt:variant>
      <vt:variant>
        <vt:i4>128</vt:i4>
      </vt:variant>
      <vt:variant>
        <vt:i4>0</vt:i4>
      </vt:variant>
      <vt:variant>
        <vt:i4>5</vt:i4>
      </vt:variant>
      <vt:variant>
        <vt:lpwstr/>
      </vt:variant>
      <vt:variant>
        <vt:lpwstr>_Toc218852771</vt:lpwstr>
      </vt:variant>
      <vt:variant>
        <vt:i4>1769528</vt:i4>
      </vt:variant>
      <vt:variant>
        <vt:i4>122</vt:i4>
      </vt:variant>
      <vt:variant>
        <vt:i4>0</vt:i4>
      </vt:variant>
      <vt:variant>
        <vt:i4>5</vt:i4>
      </vt:variant>
      <vt:variant>
        <vt:lpwstr/>
      </vt:variant>
      <vt:variant>
        <vt:lpwstr>_Toc218852770</vt:lpwstr>
      </vt:variant>
      <vt:variant>
        <vt:i4>1703992</vt:i4>
      </vt:variant>
      <vt:variant>
        <vt:i4>116</vt:i4>
      </vt:variant>
      <vt:variant>
        <vt:i4>0</vt:i4>
      </vt:variant>
      <vt:variant>
        <vt:i4>5</vt:i4>
      </vt:variant>
      <vt:variant>
        <vt:lpwstr/>
      </vt:variant>
      <vt:variant>
        <vt:lpwstr>_Toc218852769</vt:lpwstr>
      </vt:variant>
      <vt:variant>
        <vt:i4>1703992</vt:i4>
      </vt:variant>
      <vt:variant>
        <vt:i4>110</vt:i4>
      </vt:variant>
      <vt:variant>
        <vt:i4>0</vt:i4>
      </vt:variant>
      <vt:variant>
        <vt:i4>5</vt:i4>
      </vt:variant>
      <vt:variant>
        <vt:lpwstr/>
      </vt:variant>
      <vt:variant>
        <vt:lpwstr>_Toc218852768</vt:lpwstr>
      </vt:variant>
      <vt:variant>
        <vt:i4>1703992</vt:i4>
      </vt:variant>
      <vt:variant>
        <vt:i4>104</vt:i4>
      </vt:variant>
      <vt:variant>
        <vt:i4>0</vt:i4>
      </vt:variant>
      <vt:variant>
        <vt:i4>5</vt:i4>
      </vt:variant>
      <vt:variant>
        <vt:lpwstr/>
      </vt:variant>
      <vt:variant>
        <vt:lpwstr>_Toc218852767</vt:lpwstr>
      </vt:variant>
      <vt:variant>
        <vt:i4>1703992</vt:i4>
      </vt:variant>
      <vt:variant>
        <vt:i4>98</vt:i4>
      </vt:variant>
      <vt:variant>
        <vt:i4>0</vt:i4>
      </vt:variant>
      <vt:variant>
        <vt:i4>5</vt:i4>
      </vt:variant>
      <vt:variant>
        <vt:lpwstr/>
      </vt:variant>
      <vt:variant>
        <vt:lpwstr>_Toc218852766</vt:lpwstr>
      </vt:variant>
      <vt:variant>
        <vt:i4>1703992</vt:i4>
      </vt:variant>
      <vt:variant>
        <vt:i4>92</vt:i4>
      </vt:variant>
      <vt:variant>
        <vt:i4>0</vt:i4>
      </vt:variant>
      <vt:variant>
        <vt:i4>5</vt:i4>
      </vt:variant>
      <vt:variant>
        <vt:lpwstr/>
      </vt:variant>
      <vt:variant>
        <vt:lpwstr>_Toc218852765</vt:lpwstr>
      </vt:variant>
      <vt:variant>
        <vt:i4>1703992</vt:i4>
      </vt:variant>
      <vt:variant>
        <vt:i4>86</vt:i4>
      </vt:variant>
      <vt:variant>
        <vt:i4>0</vt:i4>
      </vt:variant>
      <vt:variant>
        <vt:i4>5</vt:i4>
      </vt:variant>
      <vt:variant>
        <vt:lpwstr/>
      </vt:variant>
      <vt:variant>
        <vt:lpwstr>_Toc218852764</vt:lpwstr>
      </vt:variant>
      <vt:variant>
        <vt:i4>1703992</vt:i4>
      </vt:variant>
      <vt:variant>
        <vt:i4>80</vt:i4>
      </vt:variant>
      <vt:variant>
        <vt:i4>0</vt:i4>
      </vt:variant>
      <vt:variant>
        <vt:i4>5</vt:i4>
      </vt:variant>
      <vt:variant>
        <vt:lpwstr/>
      </vt:variant>
      <vt:variant>
        <vt:lpwstr>_Toc218852763</vt:lpwstr>
      </vt:variant>
      <vt:variant>
        <vt:i4>1703992</vt:i4>
      </vt:variant>
      <vt:variant>
        <vt:i4>74</vt:i4>
      </vt:variant>
      <vt:variant>
        <vt:i4>0</vt:i4>
      </vt:variant>
      <vt:variant>
        <vt:i4>5</vt:i4>
      </vt:variant>
      <vt:variant>
        <vt:lpwstr/>
      </vt:variant>
      <vt:variant>
        <vt:lpwstr>_Toc218852762</vt:lpwstr>
      </vt:variant>
      <vt:variant>
        <vt:i4>1703992</vt:i4>
      </vt:variant>
      <vt:variant>
        <vt:i4>68</vt:i4>
      </vt:variant>
      <vt:variant>
        <vt:i4>0</vt:i4>
      </vt:variant>
      <vt:variant>
        <vt:i4>5</vt:i4>
      </vt:variant>
      <vt:variant>
        <vt:lpwstr/>
      </vt:variant>
      <vt:variant>
        <vt:lpwstr>_Toc218852761</vt:lpwstr>
      </vt:variant>
      <vt:variant>
        <vt:i4>1703992</vt:i4>
      </vt:variant>
      <vt:variant>
        <vt:i4>62</vt:i4>
      </vt:variant>
      <vt:variant>
        <vt:i4>0</vt:i4>
      </vt:variant>
      <vt:variant>
        <vt:i4>5</vt:i4>
      </vt:variant>
      <vt:variant>
        <vt:lpwstr/>
      </vt:variant>
      <vt:variant>
        <vt:lpwstr>_Toc218852760</vt:lpwstr>
      </vt:variant>
      <vt:variant>
        <vt:i4>1638456</vt:i4>
      </vt:variant>
      <vt:variant>
        <vt:i4>56</vt:i4>
      </vt:variant>
      <vt:variant>
        <vt:i4>0</vt:i4>
      </vt:variant>
      <vt:variant>
        <vt:i4>5</vt:i4>
      </vt:variant>
      <vt:variant>
        <vt:lpwstr/>
      </vt:variant>
      <vt:variant>
        <vt:lpwstr>_Toc218852759</vt:lpwstr>
      </vt:variant>
      <vt:variant>
        <vt:i4>1638456</vt:i4>
      </vt:variant>
      <vt:variant>
        <vt:i4>50</vt:i4>
      </vt:variant>
      <vt:variant>
        <vt:i4>0</vt:i4>
      </vt:variant>
      <vt:variant>
        <vt:i4>5</vt:i4>
      </vt:variant>
      <vt:variant>
        <vt:lpwstr/>
      </vt:variant>
      <vt:variant>
        <vt:lpwstr>_Toc218852758</vt:lpwstr>
      </vt:variant>
      <vt:variant>
        <vt:i4>1638456</vt:i4>
      </vt:variant>
      <vt:variant>
        <vt:i4>44</vt:i4>
      </vt:variant>
      <vt:variant>
        <vt:i4>0</vt:i4>
      </vt:variant>
      <vt:variant>
        <vt:i4>5</vt:i4>
      </vt:variant>
      <vt:variant>
        <vt:lpwstr/>
      </vt:variant>
      <vt:variant>
        <vt:lpwstr>_Toc218852757</vt:lpwstr>
      </vt:variant>
      <vt:variant>
        <vt:i4>1638456</vt:i4>
      </vt:variant>
      <vt:variant>
        <vt:i4>38</vt:i4>
      </vt:variant>
      <vt:variant>
        <vt:i4>0</vt:i4>
      </vt:variant>
      <vt:variant>
        <vt:i4>5</vt:i4>
      </vt:variant>
      <vt:variant>
        <vt:lpwstr/>
      </vt:variant>
      <vt:variant>
        <vt:lpwstr>_Toc218852756</vt:lpwstr>
      </vt:variant>
      <vt:variant>
        <vt:i4>1638456</vt:i4>
      </vt:variant>
      <vt:variant>
        <vt:i4>32</vt:i4>
      </vt:variant>
      <vt:variant>
        <vt:i4>0</vt:i4>
      </vt:variant>
      <vt:variant>
        <vt:i4>5</vt:i4>
      </vt:variant>
      <vt:variant>
        <vt:lpwstr/>
      </vt:variant>
      <vt:variant>
        <vt:lpwstr>_Toc218852755</vt:lpwstr>
      </vt:variant>
      <vt:variant>
        <vt:i4>1638456</vt:i4>
      </vt:variant>
      <vt:variant>
        <vt:i4>26</vt:i4>
      </vt:variant>
      <vt:variant>
        <vt:i4>0</vt:i4>
      </vt:variant>
      <vt:variant>
        <vt:i4>5</vt:i4>
      </vt:variant>
      <vt:variant>
        <vt:lpwstr/>
      </vt:variant>
      <vt:variant>
        <vt:lpwstr>_Toc218852754</vt:lpwstr>
      </vt:variant>
      <vt:variant>
        <vt:i4>1638456</vt:i4>
      </vt:variant>
      <vt:variant>
        <vt:i4>20</vt:i4>
      </vt:variant>
      <vt:variant>
        <vt:i4>0</vt:i4>
      </vt:variant>
      <vt:variant>
        <vt:i4>5</vt:i4>
      </vt:variant>
      <vt:variant>
        <vt:lpwstr/>
      </vt:variant>
      <vt:variant>
        <vt:lpwstr>_Toc218852753</vt:lpwstr>
      </vt:variant>
      <vt:variant>
        <vt:i4>1638456</vt:i4>
      </vt:variant>
      <vt:variant>
        <vt:i4>14</vt:i4>
      </vt:variant>
      <vt:variant>
        <vt:i4>0</vt:i4>
      </vt:variant>
      <vt:variant>
        <vt:i4>5</vt:i4>
      </vt:variant>
      <vt:variant>
        <vt:lpwstr/>
      </vt:variant>
      <vt:variant>
        <vt:lpwstr>_Toc218852752</vt:lpwstr>
      </vt:variant>
      <vt:variant>
        <vt:i4>1638456</vt:i4>
      </vt:variant>
      <vt:variant>
        <vt:i4>8</vt:i4>
      </vt:variant>
      <vt:variant>
        <vt:i4>0</vt:i4>
      </vt:variant>
      <vt:variant>
        <vt:i4>5</vt:i4>
      </vt:variant>
      <vt:variant>
        <vt:lpwstr/>
      </vt:variant>
      <vt:variant>
        <vt:lpwstr>_Toc218852751</vt:lpwstr>
      </vt:variant>
      <vt:variant>
        <vt:i4>1638456</vt:i4>
      </vt:variant>
      <vt:variant>
        <vt:i4>2</vt:i4>
      </vt:variant>
      <vt:variant>
        <vt:i4>0</vt:i4>
      </vt:variant>
      <vt:variant>
        <vt:i4>5</vt:i4>
      </vt:variant>
      <vt:variant>
        <vt:lpwstr/>
      </vt:variant>
      <vt:variant>
        <vt:lpwstr>_Toc218852750</vt:lpwstr>
      </vt:variant>
      <vt:variant>
        <vt:i4>458752</vt:i4>
      </vt:variant>
      <vt:variant>
        <vt:i4>3</vt:i4>
      </vt:variant>
      <vt:variant>
        <vt:i4>0</vt:i4>
      </vt:variant>
      <vt:variant>
        <vt:i4>5</vt:i4>
      </vt:variant>
      <vt:variant>
        <vt:lpwstr>https://www.anticorruzione.it/-/news.11.07.24.rotazione.incarichi.sanita</vt:lpwstr>
      </vt:variant>
      <vt:variant>
        <vt:lpwstr/>
      </vt:variant>
      <vt:variant>
        <vt:i4>3539002</vt:i4>
      </vt:variant>
      <vt:variant>
        <vt:i4>0</vt:i4>
      </vt:variant>
      <vt:variant>
        <vt:i4>0</vt:i4>
      </vt:variant>
      <vt:variant>
        <vt:i4>5</vt:i4>
      </vt:variant>
      <vt:variant>
        <vt:lpwstr>https://www.montecatone.com/societa-trasparente/disposizioni-generali/atti-generali/modello-organizzativo-231/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hp_m8150</dc:creator>
  <cp:keywords/>
  <cp:lastModifiedBy>Lovisetto Monica</cp:lastModifiedBy>
  <cp:revision>14</cp:revision>
  <cp:lastPrinted>2025-02-14T09:55:00Z</cp:lastPrinted>
  <dcterms:created xsi:type="dcterms:W3CDTF">2026-03-31T13:04:00Z</dcterms:created>
  <dcterms:modified xsi:type="dcterms:W3CDTF">2026-03-31T13:31:00Z</dcterms:modified>
</cp:coreProperties>
</file>